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7571"/>
      </w:tblGrid>
      <w:tr w:rsidR="00E236C7" w:rsidRPr="00E236C7" w14:paraId="37D5C4C2" w14:textId="77777777" w:rsidTr="00E236C7">
        <w:trPr>
          <w:trHeight w:val="1024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824A" w14:textId="77777777" w:rsidR="00E236C7" w:rsidRPr="00E236C7" w:rsidRDefault="00E236C7" w:rsidP="00E236C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4DE82DDE" w14:textId="77777777"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6C7">
              <w:rPr>
                <w:rFonts w:ascii="Times New Roman" w:eastAsia="Times New Roman" w:hAnsi="Times New Roman" w:cs="Times New Roman"/>
                <w:sz w:val="28"/>
                <w:szCs w:val="20"/>
              </w:rPr>
              <w:t>Nr sprawy:</w:t>
            </w:r>
          </w:p>
          <w:p w14:paraId="5F348772" w14:textId="77777777"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U/PN/2024/03/1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0C88" w14:textId="77777777" w:rsidR="00E236C7" w:rsidRPr="00E236C7" w:rsidRDefault="00E236C7" w:rsidP="00E236C7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16C1BB" w14:textId="77777777"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12F461" w14:textId="77777777"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6C7">
              <w:rPr>
                <w:rFonts w:ascii="Times New Roman" w:eastAsia="Times New Roman" w:hAnsi="Times New Roman" w:cs="Times New Roman"/>
                <w:sz w:val="28"/>
                <w:szCs w:val="20"/>
              </w:rPr>
              <w:t>Załącznik nr 7.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Pr="00E236C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do SWZ</w:t>
            </w:r>
          </w:p>
          <w:p w14:paraId="60361816" w14:textId="77777777"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6DE95" w14:textId="77777777" w:rsidR="00E236C7" w:rsidRPr="00E236C7" w:rsidRDefault="00E236C7" w:rsidP="00E236C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EA1D05" w14:textId="77777777" w:rsidR="00EF27EF" w:rsidRDefault="00EF27EF" w:rsidP="00156A46">
      <w:pPr>
        <w:spacing w:after="0" w:line="288" w:lineRule="auto"/>
        <w:ind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16681ACA" w14:textId="77777777" w:rsidR="003A27DC" w:rsidRDefault="003A27DC" w:rsidP="00156A46">
      <w:pPr>
        <w:widowControl w:val="0"/>
        <w:spacing w:after="0" w:line="288" w:lineRule="auto"/>
        <w:ind w:left="1080"/>
        <w:jc w:val="right"/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</w:pPr>
    </w:p>
    <w:p w14:paraId="32D88649" w14:textId="77777777" w:rsidR="00E236C7" w:rsidRPr="00BC3C52" w:rsidRDefault="00E236C7" w:rsidP="00156A46">
      <w:pPr>
        <w:widowControl w:val="0"/>
        <w:spacing w:after="0" w:line="288" w:lineRule="auto"/>
        <w:ind w:left="1080"/>
        <w:jc w:val="right"/>
        <w:rPr>
          <w:rFonts w:ascii="Tahoma" w:eastAsia="SimSun" w:hAnsi="Tahoma" w:cs="Tahoma"/>
          <w:kern w:val="1"/>
          <w:sz w:val="18"/>
          <w:szCs w:val="18"/>
          <w:lang w:eastAsia="hi-IN" w:bidi="hi-IN"/>
        </w:rPr>
      </w:pPr>
    </w:p>
    <w:p w14:paraId="37A45C43" w14:textId="77777777" w:rsidR="003A27DC" w:rsidRPr="00BC3C52" w:rsidRDefault="003A27DC" w:rsidP="00156A46">
      <w:pPr>
        <w:spacing w:after="0" w:line="288" w:lineRule="auto"/>
        <w:ind w:left="720" w:right="992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3C52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 xml:space="preserve">Załącznik nr </w:t>
      </w:r>
      <w:r w:rsidR="003C53D7" w:rsidRPr="00BC3C52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>5</w:t>
      </w:r>
      <w:r w:rsidRPr="00BC3C52">
        <w:rPr>
          <w:rFonts w:ascii="Tahoma" w:eastAsia="SimSun" w:hAnsi="Tahoma" w:cs="Tahoma"/>
          <w:kern w:val="1"/>
          <w:sz w:val="18"/>
          <w:szCs w:val="18"/>
          <w:lang w:eastAsia="hi-IN" w:bidi="hi-IN"/>
        </w:rPr>
        <w:t xml:space="preserve"> do umowy nr ___________ z dnia ___________</w:t>
      </w:r>
    </w:p>
    <w:p w14:paraId="37744397" w14:textId="77777777" w:rsidR="003A27DC" w:rsidRPr="00BC3C52" w:rsidRDefault="003A27DC" w:rsidP="00156A46">
      <w:pPr>
        <w:spacing w:after="0" w:line="288" w:lineRule="auto"/>
        <w:ind w:left="720"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0251DC1D" w14:textId="77777777" w:rsidR="00EF27EF" w:rsidRPr="00BC3C52" w:rsidRDefault="00EF27EF" w:rsidP="00156A46">
      <w:pPr>
        <w:spacing w:after="0" w:line="288" w:lineRule="auto"/>
        <w:ind w:left="2268" w:right="992" w:hanging="1548"/>
        <w:rPr>
          <w:rFonts w:ascii="Tahoma" w:eastAsia="Times New Roman" w:hAnsi="Tahoma" w:cs="Tahoma"/>
          <w:sz w:val="18"/>
          <w:szCs w:val="18"/>
        </w:rPr>
      </w:pPr>
      <w:r w:rsidRPr="00BC3C52">
        <w:rPr>
          <w:rFonts w:ascii="Tahoma" w:eastAsia="Times New Roman" w:hAnsi="Tahoma" w:cs="Tahoma"/>
          <w:sz w:val="18"/>
          <w:szCs w:val="18"/>
          <w:lang w:eastAsia="pl-PL"/>
        </w:rPr>
        <w:t>Opis of</w:t>
      </w:r>
      <w:r w:rsidR="003A27DC" w:rsidRPr="00BC3C52">
        <w:rPr>
          <w:rFonts w:ascii="Tahoma" w:eastAsia="Times New Roman" w:hAnsi="Tahoma" w:cs="Tahoma"/>
          <w:sz w:val="18"/>
          <w:szCs w:val="18"/>
          <w:lang w:eastAsia="pl-PL"/>
        </w:rPr>
        <w:t>erowanych</w:t>
      </w:r>
      <w:r w:rsidR="009D2BA8" w:rsidRPr="00BC3C52">
        <w:rPr>
          <w:rFonts w:ascii="Tahoma" w:eastAsia="Times New Roman" w:hAnsi="Tahoma" w:cs="Tahoma"/>
          <w:sz w:val="18"/>
          <w:szCs w:val="18"/>
          <w:lang w:eastAsia="pl-PL"/>
        </w:rPr>
        <w:t xml:space="preserve"> ładowar</w:t>
      </w:r>
      <w:r w:rsidR="003A27DC" w:rsidRPr="00BC3C52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3967DE" w:rsidRPr="00BC3C52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3A27DC" w:rsidRPr="00BC3C52">
        <w:rPr>
          <w:rFonts w:ascii="Tahoma" w:eastAsia="Times New Roman" w:hAnsi="Tahoma" w:cs="Tahoma"/>
          <w:sz w:val="18"/>
          <w:szCs w:val="18"/>
          <w:lang w:eastAsia="pl-PL"/>
        </w:rPr>
        <w:t xml:space="preserve"> Plug-in </w:t>
      </w:r>
      <w:r w:rsidR="00C205FA" w:rsidRPr="00BC3C52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BA4242" w:rsidRPr="00BC3C52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="003967DE" w:rsidRPr="00BC3C52">
        <w:rPr>
          <w:rFonts w:ascii="Tahoma" w:eastAsia="Times New Roman" w:hAnsi="Tahoma" w:cs="Tahoma"/>
          <w:sz w:val="18"/>
          <w:szCs w:val="18"/>
          <w:lang w:eastAsia="pl-PL"/>
        </w:rPr>
        <w:t>kW</w:t>
      </w:r>
      <w:r w:rsidRPr="00BC3C52">
        <w:rPr>
          <w:rFonts w:ascii="Tahoma" w:eastAsia="Times New Roman" w:hAnsi="Tahoma" w:cs="Tahoma"/>
          <w:sz w:val="18"/>
          <w:szCs w:val="18"/>
          <w:lang w:eastAsia="pl-PL"/>
        </w:rPr>
        <w:t>, obrazujący w szczególności najważniejsze parametry techniczne, cechy</w:t>
      </w:r>
      <w:r w:rsidRPr="00BC3C52">
        <w:rPr>
          <w:rFonts w:ascii="Tahoma" w:eastAsia="Times New Roman" w:hAnsi="Tahoma" w:cs="Tahoma"/>
          <w:sz w:val="18"/>
          <w:szCs w:val="18"/>
        </w:rPr>
        <w:t xml:space="preserve"> konstrukcyjne oraz cechy funkcjonalno – użytkowe.</w:t>
      </w:r>
    </w:p>
    <w:p w14:paraId="1975F95D" w14:textId="77777777" w:rsidR="00EF27EF" w:rsidRPr="00BC3C52" w:rsidRDefault="00EF27EF" w:rsidP="00156A46">
      <w:pPr>
        <w:keepNext/>
        <w:tabs>
          <w:tab w:val="left" w:pos="284"/>
        </w:tabs>
        <w:spacing w:after="0" w:line="288" w:lineRule="auto"/>
        <w:ind w:right="992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5DEC1A6F" w14:textId="77777777" w:rsidR="00EF27EF" w:rsidRPr="00BC3C52" w:rsidRDefault="00EF27EF" w:rsidP="00156A46">
      <w:pPr>
        <w:widowControl w:val="0"/>
        <w:numPr>
          <w:ilvl w:val="0"/>
          <w:numId w:val="5"/>
        </w:numPr>
        <w:tabs>
          <w:tab w:val="left" w:pos="284"/>
        </w:tabs>
        <w:spacing w:after="0" w:line="288" w:lineRule="auto"/>
        <w:ind w:left="284" w:right="992" w:hanging="284"/>
        <w:jc w:val="both"/>
      </w:pPr>
      <w:r w:rsidRPr="00BC3C52">
        <w:rPr>
          <w:rFonts w:ascii="Tahoma" w:eastAsia="Times New Roman" w:hAnsi="Tahoma" w:cs="Tahoma"/>
          <w:color w:val="00000A"/>
          <w:sz w:val="18"/>
          <w:szCs w:val="18"/>
        </w:rPr>
        <w:t>Ofer</w:t>
      </w:r>
      <w:r w:rsidR="00A174FD" w:rsidRPr="00BC3C52">
        <w:rPr>
          <w:rFonts w:ascii="Tahoma" w:eastAsia="Times New Roman" w:hAnsi="Tahoma" w:cs="Tahoma"/>
          <w:color w:val="00000A"/>
          <w:sz w:val="18"/>
          <w:szCs w:val="18"/>
        </w:rPr>
        <w:t>uje</w:t>
      </w:r>
      <w:r w:rsidR="003A27DC" w:rsidRPr="00BC3C52">
        <w:rPr>
          <w:rFonts w:ascii="Tahoma" w:eastAsia="Times New Roman" w:hAnsi="Tahoma" w:cs="Tahoma"/>
          <w:color w:val="00000A"/>
          <w:sz w:val="18"/>
          <w:szCs w:val="18"/>
        </w:rPr>
        <w:t xml:space="preserve">my </w:t>
      </w:r>
      <w:r w:rsidR="00C205FA" w:rsidRPr="00BC3C52">
        <w:rPr>
          <w:rFonts w:ascii="Tahoma" w:eastAsia="Times New Roman" w:hAnsi="Tahoma" w:cs="Tahoma"/>
          <w:color w:val="00000A"/>
          <w:sz w:val="18"/>
          <w:szCs w:val="18"/>
        </w:rPr>
        <w:t>5</w:t>
      </w:r>
      <w:r w:rsidR="007F7C08" w:rsidRPr="00BC3C52">
        <w:rPr>
          <w:rFonts w:ascii="Tahoma" w:eastAsia="Times New Roman" w:hAnsi="Tahoma" w:cs="Tahoma"/>
          <w:color w:val="00000A"/>
          <w:sz w:val="18"/>
          <w:szCs w:val="18"/>
        </w:rPr>
        <w:t xml:space="preserve"> sztuk </w:t>
      </w:r>
      <w:r w:rsidR="003A27DC" w:rsidRPr="00BC3C52">
        <w:rPr>
          <w:rFonts w:ascii="Tahoma" w:eastAsia="Times New Roman" w:hAnsi="Tahoma" w:cs="Tahoma"/>
          <w:color w:val="00000A"/>
          <w:sz w:val="18"/>
          <w:szCs w:val="18"/>
        </w:rPr>
        <w:t>ładowar</w:t>
      </w:r>
      <w:r w:rsidR="007F7C08" w:rsidRPr="00BC3C52">
        <w:rPr>
          <w:rFonts w:ascii="Tahoma" w:eastAsia="Times New Roman" w:hAnsi="Tahoma" w:cs="Tahoma"/>
          <w:color w:val="00000A"/>
          <w:sz w:val="18"/>
          <w:szCs w:val="18"/>
        </w:rPr>
        <w:t>e</w:t>
      </w:r>
      <w:r w:rsidR="003A27DC" w:rsidRPr="00BC3C52">
        <w:rPr>
          <w:rFonts w:ascii="Tahoma" w:eastAsia="Times New Roman" w:hAnsi="Tahoma" w:cs="Tahoma"/>
          <w:color w:val="00000A"/>
          <w:sz w:val="18"/>
          <w:szCs w:val="18"/>
        </w:rPr>
        <w:t>k</w:t>
      </w:r>
      <w:r w:rsidR="00A174FD" w:rsidRPr="00BC3C52">
        <w:rPr>
          <w:rFonts w:ascii="Tahoma" w:eastAsia="Times New Roman" w:hAnsi="Tahoma" w:cs="Tahoma"/>
          <w:color w:val="00000A"/>
          <w:sz w:val="18"/>
          <w:szCs w:val="18"/>
        </w:rPr>
        <w:t xml:space="preserve"> Plug-in </w:t>
      </w:r>
      <w:r w:rsidR="00C205FA" w:rsidRPr="00BC3C52">
        <w:rPr>
          <w:rFonts w:ascii="Tahoma" w:eastAsia="Times New Roman" w:hAnsi="Tahoma" w:cs="Tahoma"/>
          <w:color w:val="00000A"/>
          <w:sz w:val="18"/>
          <w:szCs w:val="18"/>
        </w:rPr>
        <w:t>2</w:t>
      </w:r>
      <w:r w:rsidR="007F7C08" w:rsidRPr="00BC3C52">
        <w:rPr>
          <w:rFonts w:ascii="Tahoma" w:eastAsia="Times New Roman" w:hAnsi="Tahoma" w:cs="Tahoma"/>
          <w:color w:val="00000A"/>
          <w:sz w:val="18"/>
          <w:szCs w:val="18"/>
        </w:rPr>
        <w:t>0</w:t>
      </w:r>
      <w:r w:rsidR="004961AB" w:rsidRPr="00BC3C52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Pr="00BC3C52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Pr="00BC3C52">
        <w:rPr>
          <w:rFonts w:ascii="Tahoma" w:eastAsia="Times New Roman" w:hAnsi="Tahoma" w:cs="Tahoma"/>
          <w:sz w:val="18"/>
          <w:szCs w:val="18"/>
        </w:rPr>
        <w:t>produkcji …………………</w:t>
      </w:r>
      <w:r w:rsidRPr="00BC3C52"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 w:rsidRPr="00BC3C52">
        <w:rPr>
          <w:rFonts w:ascii="Tahoma" w:eastAsia="Times New Roman" w:hAnsi="Tahoma" w:cs="Tahoma"/>
          <w:color w:val="00000A"/>
          <w:sz w:val="18"/>
          <w:szCs w:val="18"/>
        </w:rPr>
        <w:t>typu…………………………….., model ………………… o poniższych parametrach technicznych, cechach konstrukcyjnych oraz cechach funkcjonalno – użytkowych:</w:t>
      </w:r>
    </w:p>
    <w:p w14:paraId="45BF0744" w14:textId="77777777" w:rsidR="008F2B64" w:rsidRDefault="008F2B64" w:rsidP="00156A46">
      <w:pPr>
        <w:widowControl w:val="0"/>
        <w:tabs>
          <w:tab w:val="left" w:pos="284"/>
        </w:tabs>
        <w:spacing w:after="0" w:line="288" w:lineRule="auto"/>
        <w:ind w:left="284" w:right="992"/>
        <w:jc w:val="both"/>
      </w:pPr>
    </w:p>
    <w:p w14:paraId="4C86879B" w14:textId="77777777" w:rsidR="00C205FA" w:rsidRPr="0079040E" w:rsidRDefault="00C205FA" w:rsidP="00927F3A">
      <w:pPr>
        <w:widowControl w:val="0"/>
        <w:numPr>
          <w:ilvl w:val="0"/>
          <w:numId w:val="34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Oferowana ł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adowarka Plug-in 20kW  umożliwi</w:t>
      </w:r>
      <w:r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a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  ładowanie jednego autobusu (magazynu energii) mocą 20 kW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vertAlign w:val="superscript"/>
          <w:lang w:eastAsia="pl-PL" w:bidi="hi-IN"/>
        </w:rPr>
        <w:t>±5%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 z możliwością regulacji mocy ładowania przez Zamawiającego w trybie serwisowym.</w:t>
      </w:r>
    </w:p>
    <w:p w14:paraId="600D1F39" w14:textId="77777777" w:rsidR="00C205FA" w:rsidRPr="00605577" w:rsidRDefault="00C205FA" w:rsidP="00927F3A">
      <w:pPr>
        <w:pStyle w:val="Akapitzlist"/>
        <w:numPr>
          <w:ilvl w:val="0"/>
          <w:numId w:val="34"/>
        </w:numPr>
        <w:spacing w:after="0"/>
        <w:ind w:left="426" w:hanging="284"/>
        <w:rPr>
          <w:rFonts w:ascii="Times New Roman" w:hAnsi="Times New Roman" w:cs="Times New Roman"/>
          <w:bCs/>
          <w:sz w:val="18"/>
          <w:szCs w:val="18"/>
        </w:rPr>
      </w:pPr>
      <w:r w:rsidRPr="00605577">
        <w:rPr>
          <w:rFonts w:ascii="Times New Roman" w:hAnsi="Times New Roman" w:cs="Times New Roman"/>
          <w:bCs/>
          <w:sz w:val="18"/>
          <w:szCs w:val="18"/>
        </w:rPr>
        <w:t xml:space="preserve">Obudowa  ładowarki Plug-in 20kW  </w:t>
      </w:r>
      <w:r>
        <w:rPr>
          <w:rFonts w:ascii="Times New Roman" w:hAnsi="Times New Roman" w:cs="Times New Roman"/>
          <w:bCs/>
          <w:sz w:val="18"/>
          <w:szCs w:val="18"/>
        </w:rPr>
        <w:t>będzie</w:t>
      </w:r>
      <w:r w:rsidRPr="00605577">
        <w:rPr>
          <w:rFonts w:ascii="Times New Roman" w:hAnsi="Times New Roman" w:cs="Times New Roman"/>
          <w:bCs/>
          <w:sz w:val="18"/>
          <w:szCs w:val="18"/>
        </w:rPr>
        <w:t xml:space="preserve"> w wersji stacjonarnej, tj. przystosowana do przytwierdzenia ładowarki do gruntu ( np. do prefabrykowanego elementu betonowego lub bezpośrednio do podłoża – kostki brukowej lub nawierzchni betonowej</w:t>
      </w:r>
      <w:r>
        <w:rPr>
          <w:rFonts w:ascii="Times New Roman" w:hAnsi="Times New Roman" w:cs="Times New Roman"/>
          <w:bCs/>
          <w:sz w:val="18"/>
          <w:szCs w:val="18"/>
        </w:rPr>
        <w:t xml:space="preserve"> zgodnie z Wyborem Wykonawcy</w:t>
      </w:r>
      <w:r w:rsidRPr="00605577">
        <w:rPr>
          <w:rFonts w:ascii="Times New Roman" w:hAnsi="Times New Roman" w:cs="Times New Roman"/>
          <w:bCs/>
          <w:sz w:val="18"/>
          <w:szCs w:val="18"/>
        </w:rPr>
        <w:t xml:space="preserve">) aby zapewnić jej stabilne posadowienie – w miejscu przeznaczonym na jej eksploatacje. </w:t>
      </w:r>
    </w:p>
    <w:p w14:paraId="7273A658" w14:textId="77777777" w:rsidR="00C205FA" w:rsidRPr="0079040E" w:rsidRDefault="00C205FA" w:rsidP="00927F3A">
      <w:pPr>
        <w:widowControl w:val="0"/>
        <w:numPr>
          <w:ilvl w:val="0"/>
          <w:numId w:val="34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Cs/>
          <w:sz w:val="18"/>
          <w:szCs w:val="18"/>
        </w:rPr>
        <w:t xml:space="preserve">Rozpoczęcie procesu ładowania autobusu </w:t>
      </w:r>
      <w:r>
        <w:rPr>
          <w:rFonts w:ascii="Times New Roman" w:hAnsi="Times New Roman" w:cs="Times New Roman"/>
          <w:bCs/>
          <w:sz w:val="18"/>
          <w:szCs w:val="18"/>
        </w:rPr>
        <w:t xml:space="preserve">będzie </w:t>
      </w:r>
      <w:r w:rsidRPr="0079040E">
        <w:rPr>
          <w:rFonts w:ascii="Times New Roman" w:hAnsi="Times New Roman" w:cs="Times New Roman"/>
          <w:bCs/>
          <w:sz w:val="18"/>
          <w:szCs w:val="18"/>
        </w:rPr>
        <w:t xml:space="preserve">następować automatycznie tj. po uprzednim uruchomieniu ładowarki Plug-in 20kW ( załączenie zgodne z wymogiem opisanym w tabeli 3 wiersz 4 niniejszego załącznika) oraz podłączeniu do gniazda autobusu przewodu z ładowarki Plug-in 20kW, zakończonego wtykiem  systemu CCS, </w:t>
      </w:r>
      <w:proofErr w:type="spellStart"/>
      <w:r w:rsidRPr="0079040E">
        <w:rPr>
          <w:rFonts w:ascii="Times New Roman" w:hAnsi="Times New Roman" w:cs="Times New Roman"/>
          <w:bCs/>
          <w:sz w:val="18"/>
          <w:szCs w:val="18"/>
        </w:rPr>
        <w:t>type</w:t>
      </w:r>
      <w:proofErr w:type="spellEnd"/>
      <w:r w:rsidRPr="0079040E">
        <w:rPr>
          <w:rFonts w:ascii="Times New Roman" w:hAnsi="Times New Roman" w:cs="Times New Roman"/>
          <w:bCs/>
          <w:sz w:val="18"/>
          <w:szCs w:val="18"/>
        </w:rPr>
        <w:t xml:space="preserve"> 2. Proces ładowania  rozpocz</w:t>
      </w:r>
      <w:r>
        <w:rPr>
          <w:rFonts w:ascii="Times New Roman" w:hAnsi="Times New Roman" w:cs="Times New Roman"/>
          <w:bCs/>
          <w:sz w:val="18"/>
          <w:szCs w:val="18"/>
        </w:rPr>
        <w:t xml:space="preserve">nie </w:t>
      </w:r>
      <w:r w:rsidRPr="0079040E">
        <w:rPr>
          <w:rFonts w:ascii="Times New Roman" w:hAnsi="Times New Roman" w:cs="Times New Roman"/>
          <w:bCs/>
          <w:sz w:val="18"/>
          <w:szCs w:val="18"/>
        </w:rPr>
        <w:t>się automatycznie bez konieczności wykonywania żadnych dodatkowych czynności w czasie nie dłuższym niż 120 sekund - pod warunkiem braku problemów technicznych po stronie  ładowanego autobusu, licząc od momentu podłączenia w/w przewodu do autobusu.</w:t>
      </w:r>
    </w:p>
    <w:p w14:paraId="59C17999" w14:textId="77777777" w:rsidR="00C205FA" w:rsidRPr="0079040E" w:rsidRDefault="00C205FA" w:rsidP="00927F3A">
      <w:pPr>
        <w:widowControl w:val="0"/>
        <w:numPr>
          <w:ilvl w:val="0"/>
          <w:numId w:val="34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Cs/>
          <w:sz w:val="18"/>
          <w:szCs w:val="18"/>
        </w:rPr>
        <w:t xml:space="preserve">Proces ładowania magazynu energii  </w:t>
      </w:r>
      <w:r>
        <w:rPr>
          <w:rFonts w:ascii="Times New Roman" w:hAnsi="Times New Roman" w:cs="Times New Roman"/>
          <w:bCs/>
          <w:sz w:val="18"/>
          <w:szCs w:val="18"/>
        </w:rPr>
        <w:t>będzie</w:t>
      </w:r>
      <w:r w:rsidRPr="0079040E">
        <w:rPr>
          <w:rFonts w:ascii="Times New Roman" w:hAnsi="Times New Roman" w:cs="Times New Roman"/>
          <w:bCs/>
          <w:sz w:val="18"/>
          <w:szCs w:val="18"/>
        </w:rPr>
        <w:t xml:space="preserve"> sygnalizowany (i realizowany) dla kierowcy  w następujący sposób:</w:t>
      </w:r>
    </w:p>
    <w:p w14:paraId="6E62D7B1" w14:textId="77777777" w:rsidR="00927F3A" w:rsidRPr="0079040E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włączona ładowarka Plug-in 20kW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kontrolką koloru zielonego (zabudowaną na panelu sterującym) </w:t>
      </w:r>
      <w:r w:rsidRPr="00225287">
        <w:rPr>
          <w:bCs/>
          <w:sz w:val="18"/>
          <w:szCs w:val="18"/>
        </w:rPr>
        <w:t xml:space="preserve">oraz w trójkolorowej kolumnie świetlnej zwanej dalej </w:t>
      </w:r>
      <w:r w:rsidRPr="00225287">
        <w:rPr>
          <w:b/>
          <w:i/>
          <w:iCs/>
          <w:sz w:val="18"/>
          <w:szCs w:val="18"/>
        </w:rPr>
        <w:t>„kolumną świetlną”</w:t>
      </w:r>
      <w:r w:rsidRPr="00225287">
        <w:rPr>
          <w:bCs/>
          <w:sz w:val="18"/>
          <w:szCs w:val="18"/>
        </w:rPr>
        <w:t xml:space="preserve"> zabudowaną na górnej części obudowy </w:t>
      </w:r>
      <w:r>
        <w:rPr>
          <w:bCs/>
          <w:sz w:val="18"/>
          <w:szCs w:val="18"/>
        </w:rPr>
        <w:t>ładowarki</w:t>
      </w:r>
      <w:r w:rsidRPr="00225287">
        <w:rPr>
          <w:bCs/>
          <w:sz w:val="18"/>
          <w:szCs w:val="18"/>
        </w:rPr>
        <w:t xml:space="preserve"> informować o gotowości podłączenia autobusu: świecąca kontrolka koloru zielonego ( na panelu sterującym i kolumnie świetlnej)</w:t>
      </w:r>
      <w:r>
        <w:rPr>
          <w:bCs/>
          <w:sz w:val="18"/>
          <w:szCs w:val="18"/>
        </w:rPr>
        <w:t xml:space="preserve"> </w:t>
      </w:r>
      <w:r w:rsidRPr="0079040E">
        <w:rPr>
          <w:bCs/>
          <w:sz w:val="18"/>
          <w:szCs w:val="18"/>
        </w:rPr>
        <w:t>jest równoznaczna z gotowością ładowarki 20kW do podłączenia przewodu ładowarki  do autobusu,</w:t>
      </w:r>
    </w:p>
    <w:p w14:paraId="60F99DD4" w14:textId="77777777" w:rsidR="00927F3A" w:rsidRPr="0079040E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</w:t>
      </w:r>
      <w:r w:rsidRPr="0079040E">
        <w:rPr>
          <w:bCs/>
          <w:sz w:val="18"/>
          <w:szCs w:val="18"/>
        </w:rPr>
        <w:t>po podłączeniu przewodu z ładowarki Plug-in 20kW do gniazda autobusu odrębna kontrolka (zabudowaną na panelu sterującym</w:t>
      </w:r>
      <w:r>
        <w:rPr>
          <w:bCs/>
          <w:sz w:val="18"/>
          <w:szCs w:val="18"/>
        </w:rPr>
        <w:t xml:space="preserve"> </w:t>
      </w:r>
      <w:r w:rsidRPr="00225287">
        <w:rPr>
          <w:bCs/>
          <w:sz w:val="18"/>
          <w:szCs w:val="18"/>
        </w:rPr>
        <w:t>oraz w trójkolorowej kolumnie świetlnej</w:t>
      </w:r>
      <w:r>
        <w:rPr>
          <w:bCs/>
          <w:sz w:val="18"/>
          <w:szCs w:val="18"/>
        </w:rPr>
        <w:t>)</w:t>
      </w:r>
      <w:r w:rsidRPr="00225287">
        <w:rPr>
          <w:bCs/>
          <w:sz w:val="18"/>
          <w:szCs w:val="18"/>
        </w:rPr>
        <w:t xml:space="preserve"> koloru niebieskiego lub fioletowego</w:t>
      </w:r>
      <w:r w:rsidRPr="0079040E">
        <w:rPr>
          <w:bCs/>
          <w:sz w:val="18"/>
          <w:szCs w:val="18"/>
        </w:rPr>
        <w:t xml:space="preserve"> (do tej pory nieaktywna) </w:t>
      </w:r>
      <w:r>
        <w:rPr>
          <w:bCs/>
          <w:sz w:val="18"/>
          <w:szCs w:val="18"/>
        </w:rPr>
        <w:t>rozpocznie</w:t>
      </w:r>
      <w:r w:rsidRPr="0079040E">
        <w:rPr>
          <w:bCs/>
          <w:sz w:val="18"/>
          <w:szCs w:val="18"/>
        </w:rPr>
        <w:t xml:space="preserve"> świecić światłem przerywanym, informując o komunikacji autobusu z ładowarką Plug-in,</w:t>
      </w:r>
    </w:p>
    <w:p w14:paraId="6328CA05" w14:textId="77777777" w:rsidR="00927F3A" w:rsidRPr="0079040E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>po skutecznym zakończeniu procesu komunikacji autobusu z ładowarką Plug-in, rozpoczn</w:t>
      </w:r>
      <w:r>
        <w:rPr>
          <w:bCs/>
          <w:sz w:val="18"/>
          <w:szCs w:val="18"/>
        </w:rPr>
        <w:t>ie</w:t>
      </w:r>
      <w:r w:rsidRPr="0079040E">
        <w:rPr>
          <w:bCs/>
          <w:sz w:val="18"/>
          <w:szCs w:val="18"/>
        </w:rPr>
        <w:t xml:space="preserve"> się proces ładowania autobusu, który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sygnalizowany ciągłym światłem kontrolki, o której mowa w pkt 2,</w:t>
      </w:r>
      <w:r w:rsidRPr="0022528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25287">
        <w:rPr>
          <w:bCs/>
          <w:sz w:val="18"/>
          <w:szCs w:val="18"/>
        </w:rPr>
        <w:t xml:space="preserve">oraz w trójkolorowej </w:t>
      </w:r>
      <w:r w:rsidRPr="00225287">
        <w:rPr>
          <w:sz w:val="18"/>
          <w:szCs w:val="18"/>
        </w:rPr>
        <w:t>kolumnie świetlnej,</w:t>
      </w:r>
      <w:r w:rsidRPr="0079040E">
        <w:rPr>
          <w:bCs/>
          <w:sz w:val="18"/>
          <w:szCs w:val="18"/>
        </w:rPr>
        <w:t xml:space="preserve"> a wtyk z przewodu ładowarki Plug-in 20kW blokowany jest w gnieździe CCS autobusu (funkcja blokady wymuszana jest przez podłączony do ładowarki Plug-in autobus), uniemożliwiając tym samym wysunięcie wtyku podczas procesu ładowania, </w:t>
      </w:r>
    </w:p>
    <w:p w14:paraId="2EDB1342" w14:textId="77777777" w:rsidR="00927F3A" w:rsidRPr="0079040E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>po naładowaniu magazynu energii do pełna, proces ładowania jest zakończony (proces ładowania zakańczany jest przez autobus ) i możliwe jest odłączenie wtyku  przewodu ładowarki z gniazda autobusu – kontrolka,  o której mowa w pkt 2</w:t>
      </w:r>
      <w:r w:rsidRPr="0022528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25287">
        <w:rPr>
          <w:bCs/>
          <w:sz w:val="18"/>
          <w:szCs w:val="18"/>
        </w:rPr>
        <w:t xml:space="preserve">oraz  w trójkolorowej </w:t>
      </w:r>
      <w:r w:rsidRPr="00225287">
        <w:rPr>
          <w:b/>
          <w:bCs/>
          <w:sz w:val="18"/>
          <w:szCs w:val="18"/>
        </w:rPr>
        <w:t>kolumnie świetlnej</w:t>
      </w:r>
      <w:r w:rsidRPr="00225287">
        <w:rPr>
          <w:bCs/>
          <w:sz w:val="18"/>
          <w:szCs w:val="18"/>
        </w:rPr>
        <w:t xml:space="preserve"> jest wyłączona</w:t>
      </w:r>
      <w:r w:rsidRPr="0079040E">
        <w:rPr>
          <w:bCs/>
          <w:sz w:val="18"/>
          <w:szCs w:val="18"/>
        </w:rPr>
        <w:t>,</w:t>
      </w:r>
    </w:p>
    <w:p w14:paraId="257EA4F8" w14:textId="77777777" w:rsidR="00927F3A" w:rsidRPr="0079040E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zakończenie procesu ładowania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również możliwe w dowolnym momencie procesu ładowania (np. przed naładowaniem magazynu energii do 100% ), odbywać się to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przez naciśniecie przycisku koloru czerwonego  (zabudowanego  na panelu sterującym) – naciśnięcie tego przycisku, skutkować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natychmiastowym zakończeniem procesu ładowania oraz  możliwością odłączenia wtyku ładowarki   20kW  Plug-in z gniazda autobusu, ( funkcja odblokowania gniazda realizowana jest przez autobus w oparciu o sygnał nadany z ładowarki 20kW),</w:t>
      </w:r>
    </w:p>
    <w:p w14:paraId="068B7758" w14:textId="77777777" w:rsidR="00C205FA" w:rsidRPr="00927F3A" w:rsidRDefault="00927F3A" w:rsidP="00927F3A">
      <w:pPr>
        <w:pStyle w:val="NormalnyWeb"/>
        <w:numPr>
          <w:ilvl w:val="0"/>
          <w:numId w:val="11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jeżeli podczas komunikacji, o której mowa w pkt 2 lub podczas procesu ładowania magazynu energii wystąpi awaria, to musi to </w:t>
      </w:r>
      <w:r>
        <w:rPr>
          <w:bCs/>
          <w:sz w:val="18"/>
          <w:szCs w:val="18"/>
        </w:rPr>
        <w:t>będzie to</w:t>
      </w:r>
      <w:r w:rsidRPr="0079040E">
        <w:rPr>
          <w:bCs/>
          <w:sz w:val="18"/>
          <w:szCs w:val="18"/>
        </w:rPr>
        <w:t xml:space="preserve"> sygnalizowane świeceniem kontrolki koloru czerwonego (podczas prawidłowej pracy ładowarki 20kW kontrolka ta jest nieaktywna), zabudowanej na panelu sterującym ładowarki </w:t>
      </w:r>
      <w:r>
        <w:rPr>
          <w:rFonts w:ascii="Arial" w:eastAsiaTheme="minorHAnsi" w:hAnsi="Arial" w:cs="Arial"/>
          <w:bCs/>
          <w:sz w:val="18"/>
          <w:szCs w:val="18"/>
          <w:lang w:eastAsia="en-US"/>
        </w:rPr>
        <w:t>(</w:t>
      </w:r>
      <w:r w:rsidRPr="00225287">
        <w:rPr>
          <w:bCs/>
          <w:sz w:val="18"/>
          <w:szCs w:val="18"/>
        </w:rPr>
        <w:t xml:space="preserve">oraz w trójkolorowej </w:t>
      </w:r>
      <w:r w:rsidRPr="00225287">
        <w:rPr>
          <w:b/>
          <w:bCs/>
          <w:sz w:val="18"/>
          <w:szCs w:val="18"/>
        </w:rPr>
        <w:t>kolumnie świetlnej</w:t>
      </w:r>
      <w:r>
        <w:rPr>
          <w:b/>
          <w:bCs/>
          <w:sz w:val="18"/>
          <w:szCs w:val="18"/>
        </w:rPr>
        <w:t>)</w:t>
      </w:r>
      <w:r w:rsidRPr="0079040E">
        <w:rPr>
          <w:bCs/>
          <w:sz w:val="18"/>
          <w:szCs w:val="18"/>
        </w:rPr>
        <w:t xml:space="preserve">  proces ładowania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natychmiast przerwany – odłączenie wtyku ładowarki  z gniazda autobusu </w:t>
      </w:r>
      <w:r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wtedy możliwe, ( funkcja odblokowania gniazda realizowana jest przez autobus w oparciu o sygnał nadany z ładowarki 20kW),</w:t>
      </w:r>
    </w:p>
    <w:p w14:paraId="2F6E15C1" w14:textId="77777777" w:rsidR="00927F3A" w:rsidRPr="00927F3A" w:rsidRDefault="00927F3A" w:rsidP="00927F3A">
      <w:pPr>
        <w:spacing w:after="0" w:line="288" w:lineRule="auto"/>
        <w:ind w:left="709"/>
        <w:rPr>
          <w:rFonts w:ascii="Times New Roman" w:eastAsia="Tahoma" w:hAnsi="Times New Roman" w:cs="Times New Roman"/>
          <w:b/>
          <w:bCs/>
          <w:i/>
          <w:sz w:val="18"/>
          <w:szCs w:val="18"/>
          <w:u w:val="single"/>
        </w:rPr>
      </w:pPr>
      <w:r w:rsidRPr="00927F3A">
        <w:rPr>
          <w:rFonts w:ascii="Times New Roman" w:eastAsia="Tahoma" w:hAnsi="Times New Roman" w:cs="Times New Roman"/>
          <w:b/>
          <w:bCs/>
          <w:i/>
          <w:sz w:val="18"/>
          <w:szCs w:val="18"/>
          <w:u w:val="single"/>
        </w:rPr>
        <w:t>Uwaga:</w:t>
      </w:r>
    </w:p>
    <w:p w14:paraId="2D455C17" w14:textId="77777777" w:rsidR="00927F3A" w:rsidRPr="00927F3A" w:rsidRDefault="00927F3A" w:rsidP="00927F3A">
      <w:pPr>
        <w:spacing w:after="0" w:line="288" w:lineRule="auto"/>
        <w:ind w:left="709"/>
        <w:rPr>
          <w:rFonts w:ascii="Times New Roman" w:eastAsia="Tahoma" w:hAnsi="Times New Roman" w:cs="Times New Roman"/>
          <w:bCs/>
          <w:i/>
          <w:sz w:val="18"/>
          <w:szCs w:val="18"/>
        </w:rPr>
      </w:pPr>
      <w:r w:rsidRPr="00927F3A">
        <w:rPr>
          <w:rFonts w:ascii="Times New Roman" w:eastAsia="Tahoma" w:hAnsi="Times New Roman" w:cs="Times New Roman"/>
          <w:bCs/>
          <w:i/>
          <w:sz w:val="18"/>
          <w:szCs w:val="18"/>
        </w:rPr>
        <w:lastRenderedPageBreak/>
        <w:t>Wykonawcy znana jest definicja ( określona przez Zamawiającego) urządzeń typu „kontrolka” lub „przycisk” zgodnie z którą Zamawiający miał na myśli potoczne znaczenie tego typu wyposażenia co oznacza, że  Wykonawca w ładowarce może zastosować wyświetlacz LCD, który będzie sygnalizował ikonami lub w inny sposób np. poprzez podświetlenie danego tekstu lub kafelka w kolorystyce wymaganej przez Zamawiającego, zamiast tradycyjnych przycisków i kontrolek.</w:t>
      </w:r>
    </w:p>
    <w:p w14:paraId="58EAA310" w14:textId="77777777" w:rsidR="00C205FA" w:rsidRPr="0079040E" w:rsidRDefault="00C205FA" w:rsidP="00927F3A">
      <w:pPr>
        <w:pStyle w:val="NormalnyWeb"/>
        <w:spacing w:after="0" w:line="288" w:lineRule="auto"/>
        <w:ind w:left="709"/>
        <w:rPr>
          <w:bCs/>
          <w:i/>
          <w:sz w:val="18"/>
          <w:szCs w:val="18"/>
        </w:rPr>
      </w:pPr>
    </w:p>
    <w:p w14:paraId="3C7E8C4E" w14:textId="77777777" w:rsidR="00C205FA" w:rsidRPr="0079040E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Ładowarka  </w:t>
      </w:r>
      <w:r w:rsidR="00927F3A"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przystosowana do pracy ciągłej 24 h/dobę, 7 dni w tygodniu,  z wyjątkiem czasu niezbędnego na wykonanie czynności serwisowych, nie dłużej jednak niż 8 h, dwa razy w roku.</w:t>
      </w:r>
    </w:p>
    <w:p w14:paraId="5DD970F7" w14:textId="77777777" w:rsidR="00C205FA" w:rsidRPr="0079040E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Ładowarka  </w:t>
      </w:r>
      <w:r w:rsidR="0084209A">
        <w:rPr>
          <w:bCs/>
          <w:sz w:val="18"/>
          <w:szCs w:val="18"/>
        </w:rPr>
        <w:t xml:space="preserve">będzie </w:t>
      </w:r>
      <w:r w:rsidRPr="0079040E">
        <w:rPr>
          <w:bCs/>
          <w:sz w:val="18"/>
          <w:szCs w:val="18"/>
        </w:rPr>
        <w:t>posiadać zabezpieczenie przed jej użyciem przez osoby nieuprawnione : stacyjka na klucz.</w:t>
      </w:r>
    </w:p>
    <w:p w14:paraId="79CF8B65" w14:textId="77777777" w:rsidR="00C205FA" w:rsidRPr="0079040E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Ładowarka  będzie eksploatowana na terenie  zajezdni  Zamawiającego, ładowarka  będzie eksploatowana bez zadaszenia co oznacza, że ładowarka Plug-in </w:t>
      </w:r>
      <w:r w:rsidR="0084209A">
        <w:rPr>
          <w:bCs/>
          <w:sz w:val="18"/>
          <w:szCs w:val="18"/>
        </w:rPr>
        <w:t>będzie</w:t>
      </w:r>
      <w:r w:rsidRPr="0079040E">
        <w:rPr>
          <w:bCs/>
          <w:sz w:val="18"/>
          <w:szCs w:val="18"/>
        </w:rPr>
        <w:t xml:space="preserve">  odporna na zmienne warunki atmosferyczne (warunki otoczenia). </w:t>
      </w:r>
    </w:p>
    <w:p w14:paraId="2A238F77" w14:textId="77777777" w:rsidR="00C205FA" w:rsidRPr="0079040E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>Ładowarkę  dostarczy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>, rozład</w:t>
      </w:r>
      <w:r w:rsidR="0084209A">
        <w:rPr>
          <w:bCs/>
          <w:sz w:val="18"/>
          <w:szCs w:val="18"/>
        </w:rPr>
        <w:t>ujemy</w:t>
      </w:r>
      <w:r w:rsidRPr="0079040E">
        <w:rPr>
          <w:bCs/>
          <w:sz w:val="18"/>
          <w:szCs w:val="18"/>
        </w:rPr>
        <w:t>,  posadowi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>, podłączy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 xml:space="preserve"> do instalacji elektrycznej przygotowanej uprzednio przez Zamawiającego 3 x 400 VAC (instalacja elektryczna przygotowana będzie przez Zamawiającego według wytycznych Wykonawcy, uzgodnionych w terminie do 3 miesięcy licząc od dnia podpisania umowy), dokon</w:t>
      </w:r>
      <w:r w:rsidR="0084209A">
        <w:rPr>
          <w:bCs/>
          <w:sz w:val="18"/>
          <w:szCs w:val="18"/>
        </w:rPr>
        <w:t>amy</w:t>
      </w:r>
      <w:r w:rsidRPr="0079040E">
        <w:rPr>
          <w:bCs/>
          <w:sz w:val="18"/>
          <w:szCs w:val="18"/>
        </w:rPr>
        <w:t xml:space="preserve"> pierwszego uruchomienia oraz przeprowadzi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 xml:space="preserve"> testy ładowania autobusów. Wszelkie prace montażowe  </w:t>
      </w:r>
      <w:r w:rsidR="0084209A">
        <w:rPr>
          <w:bCs/>
          <w:sz w:val="18"/>
          <w:szCs w:val="18"/>
        </w:rPr>
        <w:t xml:space="preserve">będą </w:t>
      </w:r>
      <w:r w:rsidRPr="0079040E">
        <w:rPr>
          <w:bCs/>
          <w:sz w:val="18"/>
          <w:szCs w:val="18"/>
        </w:rPr>
        <w:t>prowadz</w:t>
      </w:r>
      <w:r w:rsidR="0084209A">
        <w:rPr>
          <w:bCs/>
          <w:sz w:val="18"/>
          <w:szCs w:val="18"/>
        </w:rPr>
        <w:t>ona</w:t>
      </w:r>
      <w:r w:rsidRPr="0079040E">
        <w:rPr>
          <w:bCs/>
          <w:sz w:val="18"/>
          <w:szCs w:val="18"/>
        </w:rPr>
        <w:t xml:space="preserve"> zgodnie ze sztuką budowlaną oraz przy zachowaniu aktualnie obowiązujących przepisów prawa – z w/w czynności, sporządzi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 xml:space="preserve"> dokumentację powykonawczą i przeprowadzi</w:t>
      </w:r>
      <w:r w:rsidR="0084209A">
        <w:rPr>
          <w:bCs/>
          <w:sz w:val="18"/>
          <w:szCs w:val="18"/>
        </w:rPr>
        <w:t>my</w:t>
      </w:r>
      <w:r w:rsidRPr="0079040E">
        <w:rPr>
          <w:bCs/>
          <w:sz w:val="18"/>
          <w:szCs w:val="18"/>
        </w:rPr>
        <w:t xml:space="preserve"> pomiary rezystancji izolacji ochronnej oraz ochrony przeciw porażeniowej. </w:t>
      </w:r>
    </w:p>
    <w:p w14:paraId="31437FC1" w14:textId="77777777" w:rsidR="0084209A" w:rsidRPr="0079040E" w:rsidRDefault="0084209A" w:rsidP="0084209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Poza obowiązkami wynikającymi z ust. 8 Wykonawca </w:t>
      </w:r>
      <w:r>
        <w:rPr>
          <w:bCs/>
          <w:sz w:val="18"/>
          <w:szCs w:val="18"/>
        </w:rPr>
        <w:t>zobowiązuje się do</w:t>
      </w:r>
      <w:r w:rsidRPr="0079040E">
        <w:rPr>
          <w:bCs/>
          <w:sz w:val="18"/>
          <w:szCs w:val="18"/>
        </w:rPr>
        <w:t>:</w:t>
      </w:r>
    </w:p>
    <w:p w14:paraId="0588D972" w14:textId="77777777" w:rsidR="0084209A" w:rsidRPr="00BC3C52" w:rsidRDefault="0084209A" w:rsidP="0084209A">
      <w:pPr>
        <w:pStyle w:val="NormalnyWeb"/>
        <w:numPr>
          <w:ilvl w:val="0"/>
          <w:numId w:val="33"/>
        </w:numPr>
        <w:spacing w:after="0" w:line="288" w:lineRule="auto"/>
        <w:ind w:left="709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sporządzenia  wymaganej prawem dokumentacji, koniecznej do przeprowadzenia </w:t>
      </w:r>
      <w:r w:rsidRPr="00BC3C52">
        <w:rPr>
          <w:bCs/>
          <w:sz w:val="18"/>
          <w:szCs w:val="18"/>
        </w:rPr>
        <w:t xml:space="preserve">przez Urząd Dozoru Technicznego (UDT) badania, o którym mowa w art. 16 ust. 2 pkt. 1 Ustawy  o </w:t>
      </w:r>
      <w:proofErr w:type="spellStart"/>
      <w:r w:rsidRPr="00BC3C52">
        <w:rPr>
          <w:bCs/>
          <w:sz w:val="18"/>
          <w:szCs w:val="18"/>
        </w:rPr>
        <w:t>elektromobilności</w:t>
      </w:r>
      <w:proofErr w:type="spellEnd"/>
      <w:r w:rsidRPr="00BC3C52">
        <w:rPr>
          <w:bCs/>
          <w:sz w:val="18"/>
          <w:szCs w:val="18"/>
        </w:rPr>
        <w:t xml:space="preserve">  i paliwach alternatywnych (Dz.U.202</w:t>
      </w:r>
      <w:r w:rsidR="00651D0C" w:rsidRPr="00BC3C52">
        <w:rPr>
          <w:bCs/>
          <w:sz w:val="18"/>
          <w:szCs w:val="18"/>
        </w:rPr>
        <w:t>4</w:t>
      </w:r>
      <w:r w:rsidRPr="00BC3C52">
        <w:rPr>
          <w:bCs/>
          <w:sz w:val="18"/>
          <w:szCs w:val="18"/>
        </w:rPr>
        <w:t>.</w:t>
      </w:r>
      <w:r w:rsidR="00651D0C" w:rsidRPr="00BC3C52">
        <w:rPr>
          <w:bCs/>
          <w:sz w:val="18"/>
          <w:szCs w:val="18"/>
        </w:rPr>
        <w:t>1289</w:t>
      </w:r>
      <w:r w:rsidRPr="00BC3C52">
        <w:rPr>
          <w:bCs/>
          <w:sz w:val="18"/>
          <w:szCs w:val="18"/>
        </w:rPr>
        <w:t xml:space="preserve"> </w:t>
      </w:r>
      <w:proofErr w:type="spellStart"/>
      <w:r w:rsidRPr="00BC3C52">
        <w:rPr>
          <w:bCs/>
          <w:sz w:val="18"/>
          <w:szCs w:val="18"/>
        </w:rPr>
        <w:t>t.j</w:t>
      </w:r>
      <w:proofErr w:type="spellEnd"/>
      <w:r w:rsidRPr="00BC3C52">
        <w:rPr>
          <w:bCs/>
          <w:sz w:val="18"/>
          <w:szCs w:val="18"/>
        </w:rPr>
        <w:t>. z dnia 202</w:t>
      </w:r>
      <w:r w:rsidR="00651D0C" w:rsidRPr="00BC3C52">
        <w:rPr>
          <w:bCs/>
          <w:sz w:val="18"/>
          <w:szCs w:val="18"/>
        </w:rPr>
        <w:t>4</w:t>
      </w:r>
      <w:r w:rsidRPr="00BC3C52">
        <w:rPr>
          <w:bCs/>
          <w:sz w:val="18"/>
          <w:szCs w:val="18"/>
        </w:rPr>
        <w:t>.0</w:t>
      </w:r>
      <w:r w:rsidR="00651D0C" w:rsidRPr="00BC3C52">
        <w:rPr>
          <w:bCs/>
          <w:sz w:val="18"/>
          <w:szCs w:val="18"/>
        </w:rPr>
        <w:t>8</w:t>
      </w:r>
      <w:r w:rsidRPr="00BC3C52">
        <w:rPr>
          <w:bCs/>
          <w:sz w:val="18"/>
          <w:szCs w:val="18"/>
        </w:rPr>
        <w:t>.</w:t>
      </w:r>
      <w:r w:rsidR="00651D0C" w:rsidRPr="00BC3C52">
        <w:rPr>
          <w:bCs/>
          <w:sz w:val="18"/>
          <w:szCs w:val="18"/>
        </w:rPr>
        <w:t>26</w:t>
      </w:r>
      <w:r w:rsidRPr="00BC3C52">
        <w:rPr>
          <w:bCs/>
          <w:sz w:val="18"/>
          <w:szCs w:val="18"/>
        </w:rPr>
        <w:t xml:space="preserve"> z </w:t>
      </w:r>
      <w:proofErr w:type="spellStart"/>
      <w:r w:rsidRPr="00BC3C52">
        <w:rPr>
          <w:bCs/>
          <w:sz w:val="18"/>
          <w:szCs w:val="18"/>
        </w:rPr>
        <w:t>poź</w:t>
      </w:r>
      <w:proofErr w:type="spellEnd"/>
      <w:r w:rsidRPr="00BC3C52">
        <w:rPr>
          <w:bCs/>
          <w:sz w:val="18"/>
          <w:szCs w:val="18"/>
        </w:rPr>
        <w:t>. zmianami),</w:t>
      </w:r>
    </w:p>
    <w:p w14:paraId="6E0AA515" w14:textId="77777777" w:rsidR="0084209A" w:rsidRPr="00BC3C52" w:rsidRDefault="0084209A" w:rsidP="0084209A">
      <w:pPr>
        <w:pStyle w:val="NormalnyWeb"/>
        <w:numPr>
          <w:ilvl w:val="0"/>
          <w:numId w:val="33"/>
        </w:numPr>
        <w:spacing w:after="0" w:line="288" w:lineRule="auto"/>
        <w:ind w:left="709" w:hanging="283"/>
        <w:rPr>
          <w:sz w:val="18"/>
          <w:szCs w:val="18"/>
        </w:rPr>
      </w:pPr>
      <w:r w:rsidRPr="00BC3C52">
        <w:rPr>
          <w:bCs/>
          <w:sz w:val="18"/>
          <w:szCs w:val="18"/>
        </w:rPr>
        <w:t>złożenia w imieniu Zamawiającego wniosku o przeprowadzenie tych badań i reprezentowania Zamawiającego przed UDT, aż do uzyskania pozytywnego wyniku tego badania i uzyskania protokołu, o którym mowa w § 19 ust. 4 Rozporządzenia Ministra Energii z dnia 26 czerwca 2019 r. (Dz.U.2019.1316 z dnia 2019.07.15)- Zamawiający udzieli Wykonawcy wszystkich niezbędnych pełnomocnictw do reprezentowania Zamawiającego przed UDT.</w:t>
      </w:r>
    </w:p>
    <w:p w14:paraId="296BF916" w14:textId="77777777" w:rsidR="0084209A" w:rsidRPr="00BC3C52" w:rsidRDefault="0084209A" w:rsidP="0084209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BC3C52">
        <w:rPr>
          <w:sz w:val="18"/>
          <w:szCs w:val="18"/>
        </w:rPr>
        <w:t>W celu umożliwienia Zamawiającemu nadzoru nad procesem ładowania posiadanych już ładowarek do autobusów elektrycznych i hybrydowych Wykonawca dokona bezprzewodowego  podłączenia (i skonfigurowania)  ładowarek do SMPŁ Zamawiającego, jeżeli do bezprzewodowego podłączenia ładowarki do SMPŁ niezbędna będzie karta SIM to w okresie pierwszych 5 –</w:t>
      </w:r>
      <w:proofErr w:type="spellStart"/>
      <w:r w:rsidRPr="00BC3C52">
        <w:rPr>
          <w:sz w:val="18"/>
          <w:szCs w:val="18"/>
        </w:rPr>
        <w:t>ciu</w:t>
      </w:r>
      <w:proofErr w:type="spellEnd"/>
      <w:r w:rsidRPr="00BC3C52">
        <w:rPr>
          <w:sz w:val="18"/>
          <w:szCs w:val="18"/>
        </w:rPr>
        <w:t xml:space="preserve"> lat eksploatacji w zapewni ją Wykonawca. Zamawiający udostępni Wykonawcy wszelkie niezbędne dane do podłączenia i konfiguracji ładowarek do SMPŁ na etapie podpisania lub realizacji umowy.</w:t>
      </w:r>
    </w:p>
    <w:p w14:paraId="2E3F8E8B" w14:textId="77777777" w:rsidR="00C205FA" w:rsidRPr="00BC3C52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BC3C52">
        <w:rPr>
          <w:bCs/>
          <w:sz w:val="18"/>
          <w:szCs w:val="18"/>
        </w:rPr>
        <w:t>Minimalna żywotność ładowarki Plug-in 20kW to 15 lat.</w:t>
      </w:r>
    </w:p>
    <w:p w14:paraId="574C4442" w14:textId="77777777" w:rsidR="00C205FA" w:rsidRPr="00BC3C52" w:rsidRDefault="00C205FA" w:rsidP="00927F3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BC3C52">
        <w:rPr>
          <w:bCs/>
          <w:sz w:val="18"/>
          <w:szCs w:val="18"/>
        </w:rPr>
        <w:t>Wymaga się, aby oferowana  ładowarka  posiada oznakowanie CE oraz deklarację zgodności lub certyfikat zgodności zgodnie z wymogami Ustawy z dnia 30 sierpnia 2002 r.  o systemie oceny zgodności Dz.U.202</w:t>
      </w:r>
      <w:r w:rsidR="00651D0C" w:rsidRPr="00BC3C52">
        <w:rPr>
          <w:bCs/>
          <w:sz w:val="18"/>
          <w:szCs w:val="18"/>
        </w:rPr>
        <w:t>3</w:t>
      </w:r>
      <w:r w:rsidRPr="00BC3C52">
        <w:rPr>
          <w:bCs/>
          <w:sz w:val="18"/>
          <w:szCs w:val="18"/>
        </w:rPr>
        <w:t>.</w:t>
      </w:r>
      <w:r w:rsidR="00651D0C" w:rsidRPr="00BC3C52">
        <w:rPr>
          <w:bCs/>
          <w:sz w:val="18"/>
          <w:szCs w:val="18"/>
        </w:rPr>
        <w:t>215</w:t>
      </w:r>
      <w:r w:rsidRPr="00BC3C52">
        <w:rPr>
          <w:bCs/>
          <w:sz w:val="18"/>
          <w:szCs w:val="18"/>
        </w:rPr>
        <w:t xml:space="preserve"> </w:t>
      </w:r>
      <w:proofErr w:type="spellStart"/>
      <w:r w:rsidRPr="00BC3C52">
        <w:rPr>
          <w:bCs/>
          <w:sz w:val="18"/>
          <w:szCs w:val="18"/>
        </w:rPr>
        <w:t>t.j</w:t>
      </w:r>
      <w:proofErr w:type="spellEnd"/>
      <w:r w:rsidRPr="00BC3C52">
        <w:rPr>
          <w:bCs/>
          <w:sz w:val="18"/>
          <w:szCs w:val="18"/>
        </w:rPr>
        <w:t>. z dnia 202</w:t>
      </w:r>
      <w:r w:rsidR="00651D0C" w:rsidRPr="00BC3C52">
        <w:rPr>
          <w:bCs/>
          <w:sz w:val="18"/>
          <w:szCs w:val="18"/>
        </w:rPr>
        <w:t>3</w:t>
      </w:r>
      <w:r w:rsidRPr="00BC3C52">
        <w:rPr>
          <w:bCs/>
          <w:sz w:val="18"/>
          <w:szCs w:val="18"/>
        </w:rPr>
        <w:t>.0</w:t>
      </w:r>
      <w:r w:rsidR="00651D0C" w:rsidRPr="00BC3C52">
        <w:rPr>
          <w:bCs/>
          <w:sz w:val="18"/>
          <w:szCs w:val="18"/>
        </w:rPr>
        <w:t>2</w:t>
      </w:r>
      <w:r w:rsidRPr="00BC3C52">
        <w:rPr>
          <w:bCs/>
          <w:sz w:val="18"/>
          <w:szCs w:val="18"/>
        </w:rPr>
        <w:t>.</w:t>
      </w:r>
      <w:r w:rsidR="00651D0C" w:rsidRPr="00BC3C52">
        <w:rPr>
          <w:bCs/>
          <w:sz w:val="18"/>
          <w:szCs w:val="18"/>
        </w:rPr>
        <w:t>01</w:t>
      </w:r>
      <w:r w:rsidRPr="00BC3C52">
        <w:rPr>
          <w:bCs/>
          <w:sz w:val="18"/>
          <w:szCs w:val="18"/>
        </w:rPr>
        <w:t>.</w:t>
      </w:r>
    </w:p>
    <w:p w14:paraId="23E3890C" w14:textId="77777777" w:rsidR="00EF27EF" w:rsidRPr="00BC3C52" w:rsidRDefault="00EF27EF" w:rsidP="0084209A">
      <w:pPr>
        <w:pStyle w:val="NormalnyWeb"/>
        <w:numPr>
          <w:ilvl w:val="0"/>
          <w:numId w:val="34"/>
        </w:numPr>
        <w:spacing w:after="0" w:line="288" w:lineRule="auto"/>
        <w:ind w:left="426" w:hanging="284"/>
        <w:rPr>
          <w:sz w:val="18"/>
          <w:szCs w:val="18"/>
        </w:rPr>
      </w:pPr>
      <w:r w:rsidRPr="00BC3C52">
        <w:rPr>
          <w:rFonts w:ascii="Tahoma" w:eastAsia="Times New Roman" w:hAnsi="Tahoma" w:cs="Tahoma"/>
          <w:color w:val="00000A"/>
          <w:sz w:val="18"/>
          <w:szCs w:val="18"/>
        </w:rPr>
        <w:t>Inne_</w:t>
      </w:r>
      <w:r w:rsidR="004C014E" w:rsidRPr="00BC3C52">
        <w:rPr>
          <w:rFonts w:ascii="Tahoma" w:eastAsia="Times New Roman" w:hAnsi="Tahoma" w:cs="Tahoma"/>
          <w:color w:val="00000A"/>
          <w:sz w:val="18"/>
          <w:szCs w:val="18"/>
        </w:rPr>
        <w:t>_______</w:t>
      </w:r>
    </w:p>
    <w:p w14:paraId="6B0D4881" w14:textId="77777777" w:rsidR="00497754" w:rsidRPr="00BC3C52" w:rsidRDefault="00497754" w:rsidP="00156A46">
      <w:pPr>
        <w:widowControl w:val="0"/>
        <w:tabs>
          <w:tab w:val="left" w:pos="284"/>
        </w:tabs>
        <w:spacing w:after="0" w:line="288" w:lineRule="auto"/>
        <w:ind w:left="644"/>
        <w:jc w:val="both"/>
      </w:pPr>
    </w:p>
    <w:p w14:paraId="77A37113" w14:textId="77777777" w:rsidR="00EF27EF" w:rsidRPr="00BC3C52" w:rsidRDefault="00EF27EF" w:rsidP="00156A46">
      <w:pPr>
        <w:numPr>
          <w:ilvl w:val="0"/>
          <w:numId w:val="5"/>
        </w:numPr>
        <w:tabs>
          <w:tab w:val="left" w:pos="284"/>
        </w:tabs>
        <w:spacing w:after="0" w:line="288" w:lineRule="auto"/>
        <w:ind w:right="992" w:hanging="1080"/>
      </w:pPr>
      <w:r w:rsidRPr="00BC3C52">
        <w:rPr>
          <w:rFonts w:ascii="Tahoma" w:eastAsia="Times New Roman" w:hAnsi="Tahoma" w:cs="Tahoma"/>
          <w:b/>
          <w:sz w:val="18"/>
          <w:szCs w:val="18"/>
        </w:rPr>
        <w:t xml:space="preserve">Szczegółowe </w:t>
      </w:r>
      <w:r w:rsidR="00686644" w:rsidRPr="00BC3C52">
        <w:rPr>
          <w:rFonts w:ascii="Tahoma" w:eastAsia="Times New Roman" w:hAnsi="Tahoma" w:cs="Tahoma"/>
          <w:b/>
          <w:sz w:val="18"/>
          <w:szCs w:val="18"/>
        </w:rPr>
        <w:t>dane dla ładowar</w:t>
      </w:r>
      <w:r w:rsidR="003D5587" w:rsidRPr="00BC3C52">
        <w:rPr>
          <w:rFonts w:ascii="Tahoma" w:eastAsia="Times New Roman" w:hAnsi="Tahoma" w:cs="Tahoma"/>
          <w:b/>
          <w:sz w:val="18"/>
          <w:szCs w:val="18"/>
        </w:rPr>
        <w:t>ek</w:t>
      </w:r>
      <w:r w:rsidR="00686644" w:rsidRPr="00BC3C52">
        <w:rPr>
          <w:rFonts w:ascii="Tahoma" w:eastAsia="Times New Roman" w:hAnsi="Tahoma" w:cs="Tahoma"/>
          <w:b/>
          <w:sz w:val="18"/>
          <w:szCs w:val="18"/>
        </w:rPr>
        <w:t xml:space="preserve"> Plug –In </w:t>
      </w:r>
      <w:r w:rsidR="0084209A" w:rsidRPr="00BC3C52">
        <w:rPr>
          <w:rFonts w:ascii="Tahoma" w:eastAsia="Times New Roman" w:hAnsi="Tahoma" w:cs="Tahoma"/>
          <w:b/>
          <w:sz w:val="18"/>
          <w:szCs w:val="18"/>
        </w:rPr>
        <w:t>2</w:t>
      </w:r>
      <w:r w:rsidR="007F7C08" w:rsidRPr="00BC3C52">
        <w:rPr>
          <w:rFonts w:ascii="Tahoma" w:eastAsia="Times New Roman" w:hAnsi="Tahoma" w:cs="Tahoma"/>
          <w:b/>
          <w:sz w:val="18"/>
          <w:szCs w:val="18"/>
        </w:rPr>
        <w:t>0</w:t>
      </w:r>
      <w:r w:rsidR="004961AB" w:rsidRPr="00BC3C52">
        <w:rPr>
          <w:rFonts w:ascii="Tahoma" w:eastAsia="Times New Roman" w:hAnsi="Tahoma" w:cs="Tahoma"/>
          <w:b/>
          <w:sz w:val="18"/>
          <w:szCs w:val="18"/>
        </w:rPr>
        <w:t>kW</w:t>
      </w:r>
      <w:r w:rsidRPr="00BC3C52">
        <w:rPr>
          <w:rFonts w:ascii="Tahoma" w:eastAsia="Times New Roman" w:hAnsi="Tahoma" w:cs="Tahoma"/>
          <w:b/>
          <w:sz w:val="18"/>
          <w:szCs w:val="18"/>
        </w:rPr>
        <w:t xml:space="preserve"> .</w:t>
      </w:r>
    </w:p>
    <w:p w14:paraId="5435DB9D" w14:textId="77777777" w:rsidR="0084209A" w:rsidRPr="0079040E" w:rsidRDefault="0084209A" w:rsidP="0084209A">
      <w:pPr>
        <w:pStyle w:val="NormalnyWeb"/>
        <w:spacing w:after="0" w:line="288" w:lineRule="auto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</w:t>
      </w:r>
      <w:r w:rsidRPr="0079040E">
        <w:rPr>
          <w:bCs/>
          <w:sz w:val="18"/>
          <w:szCs w:val="18"/>
        </w:rPr>
        <w:t>Tabela nr 1</w:t>
      </w:r>
      <w:r>
        <w:rPr>
          <w:bCs/>
          <w:sz w:val="18"/>
          <w:szCs w:val="18"/>
        </w:rPr>
        <w:t xml:space="preserve">. </w:t>
      </w:r>
      <w:r w:rsidRPr="0079040E">
        <w:rPr>
          <w:bCs/>
          <w:sz w:val="18"/>
          <w:szCs w:val="18"/>
        </w:rPr>
        <w:t xml:space="preserve">Dane (prądowe) zasilania do ładowarki 20kW .                           </w:t>
      </w:r>
    </w:p>
    <w:tbl>
      <w:tblPr>
        <w:tblW w:w="4654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662"/>
        <w:gridCol w:w="3807"/>
        <w:gridCol w:w="5627"/>
      </w:tblGrid>
      <w:tr w:rsidR="0084209A" w:rsidRPr="0079040E" w14:paraId="4C209049" w14:textId="77777777" w:rsidTr="007D6463">
        <w:trPr>
          <w:trHeight w:hRule="exact"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FDAA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E1E41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5FA2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84209A" w:rsidRPr="0079040E" w14:paraId="1ABC44A2" w14:textId="77777777" w:rsidTr="007D6463">
        <w:trPr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84C1079" w14:textId="77777777"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9209E2A" w14:textId="77777777"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60918B" w14:textId="77777777"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84209A" w:rsidRPr="0079040E" w14:paraId="0A3B911B" w14:textId="77777777" w:rsidTr="007D6463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CB1A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6C87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Napięcie zasilania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46D7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0082C8C6" w14:textId="77777777" w:rsidTr="007D6463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7AF9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64D9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Moc przyłączeniowa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89C3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</w:tbl>
    <w:p w14:paraId="345CF99F" w14:textId="77777777" w:rsidR="0084209A" w:rsidRPr="0079040E" w:rsidRDefault="0084209A" w:rsidP="0084209A">
      <w:pPr>
        <w:pStyle w:val="NormalnyWeb"/>
        <w:spacing w:after="0" w:line="288" w:lineRule="auto"/>
        <w:jc w:val="both"/>
        <w:rPr>
          <w:bCs/>
          <w:sz w:val="18"/>
          <w:szCs w:val="18"/>
          <w:lang w:val="en-US"/>
        </w:rPr>
      </w:pPr>
    </w:p>
    <w:p w14:paraId="6DE10A3F" w14:textId="77777777" w:rsidR="0084209A" w:rsidRPr="0079040E" w:rsidRDefault="0084209A" w:rsidP="0084209A">
      <w:pPr>
        <w:pStyle w:val="NormalnyWeb"/>
        <w:spacing w:after="0" w:line="288" w:lineRule="auto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</w:t>
      </w:r>
      <w:r w:rsidRPr="0084209A">
        <w:rPr>
          <w:bCs/>
          <w:sz w:val="18"/>
          <w:szCs w:val="18"/>
        </w:rPr>
        <w:t>Tabela nr 2</w:t>
      </w:r>
      <w:r>
        <w:rPr>
          <w:bCs/>
          <w:sz w:val="18"/>
          <w:szCs w:val="18"/>
        </w:rPr>
        <w:t xml:space="preserve">. </w:t>
      </w:r>
      <w:r w:rsidRPr="0084209A">
        <w:rPr>
          <w:bCs/>
          <w:sz w:val="18"/>
          <w:szCs w:val="18"/>
        </w:rPr>
        <w:t xml:space="preserve"> </w:t>
      </w:r>
      <w:r w:rsidRPr="0079040E">
        <w:rPr>
          <w:bCs/>
          <w:sz w:val="18"/>
          <w:szCs w:val="18"/>
        </w:rPr>
        <w:t xml:space="preserve">Dane wyjściowe i inne parametry ładowarki Plug-in 20kW. </w:t>
      </w:r>
    </w:p>
    <w:p w14:paraId="6D531526" w14:textId="77777777" w:rsidR="0084209A" w:rsidRPr="0079040E" w:rsidRDefault="0084209A" w:rsidP="0084209A">
      <w:pPr>
        <w:pStyle w:val="NormalnyWeb"/>
        <w:spacing w:after="0" w:line="288" w:lineRule="auto"/>
        <w:ind w:left="786"/>
        <w:jc w:val="both"/>
        <w:rPr>
          <w:sz w:val="18"/>
          <w:szCs w:val="18"/>
        </w:rPr>
      </w:pPr>
    </w:p>
    <w:tbl>
      <w:tblPr>
        <w:tblW w:w="4700" w:type="pct"/>
        <w:tblInd w:w="501" w:type="dxa"/>
        <w:tblLayout w:type="fixed"/>
        <w:tblLook w:val="0000" w:firstRow="0" w:lastRow="0" w:firstColumn="0" w:lastColumn="0" w:noHBand="0" w:noVBand="0"/>
      </w:tblPr>
      <w:tblGrid>
        <w:gridCol w:w="722"/>
        <w:gridCol w:w="3831"/>
        <w:gridCol w:w="5643"/>
      </w:tblGrid>
      <w:tr w:rsidR="0084209A" w:rsidRPr="0079040E" w14:paraId="4DB52A51" w14:textId="77777777" w:rsidTr="007D6463">
        <w:trPr>
          <w:trHeight w:val="34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3796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34CF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AF54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84209A" w:rsidRPr="0079040E" w14:paraId="00577113" w14:textId="77777777" w:rsidTr="007D6463">
        <w:trPr>
          <w:trHeight w:hRule="exact" w:val="28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25488E" w14:textId="77777777"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35D5557" w14:textId="77777777"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9FB7B4" w14:textId="77777777"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84209A" w:rsidRPr="0079040E" w14:paraId="0144039F" w14:textId="77777777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A2F8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DF5B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Znamionowa moc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976D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35A091BE" w14:textId="77777777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A821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CAC3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Napięcie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78D7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17356EE7" w14:textId="77777777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045B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0B32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Minimalne napięcie ładowania w sytuacji awaryjnej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6BFC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74D621F8" w14:textId="77777777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4AEA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D949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Interfejs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9D1C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78679FDF" w14:textId="77777777" w:rsidTr="007D6463">
        <w:trPr>
          <w:trHeight w:val="84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2F63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D263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Interfejs komunikacyjny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0F9C" w14:textId="77777777" w:rsidR="0084209A" w:rsidRPr="0079040E" w:rsidRDefault="0084209A" w:rsidP="007D6463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</w:p>
        </w:tc>
      </w:tr>
      <w:tr w:rsidR="0084209A" w:rsidRPr="0079040E" w14:paraId="274F8E7E" w14:textId="77777777" w:rsidTr="007D6463">
        <w:trPr>
          <w:trHeight w:val="70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23CD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37A2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Izolacja galwaniczna wejść względem wyjść (min)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F240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02715CD0" w14:textId="77777777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3A63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ADCD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Sprawność (minimalna)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500B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273F646C" w14:textId="77777777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4E7C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CA5C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Stopień ochrony IP (minimalny)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F7B2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37BBBA1E" w14:textId="77777777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4745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F934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Zakres temperatury pracy °C (min od …do…)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499D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474CCB14" w14:textId="77777777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DF93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D99B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Kompatybilność elektromagnetyczna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C290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7C1F1C5D" w14:textId="77777777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A404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20EA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Moduły ładowania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ADAF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1C9F1D7D" w14:textId="77777777" w:rsidTr="007D646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1D7C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0812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Poziom hałasu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7533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1F3B16E9" w14:textId="77777777" w:rsidR="0084209A" w:rsidRPr="0079040E" w:rsidRDefault="0084209A" w:rsidP="0084209A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        </w:t>
      </w:r>
    </w:p>
    <w:p w14:paraId="38EA9B99" w14:textId="77777777" w:rsidR="0084209A" w:rsidRPr="0079040E" w:rsidRDefault="0084209A" w:rsidP="0084209A">
      <w:pPr>
        <w:pStyle w:val="NormalnyWeb"/>
        <w:spacing w:after="0" w:line="288" w:lineRule="auto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  <w:r w:rsidRPr="0079040E">
        <w:rPr>
          <w:bCs/>
          <w:sz w:val="18"/>
          <w:szCs w:val="18"/>
        </w:rPr>
        <w:t>Tabela nr 3</w:t>
      </w:r>
      <w:r>
        <w:rPr>
          <w:bCs/>
          <w:sz w:val="18"/>
          <w:szCs w:val="18"/>
        </w:rPr>
        <w:t>. Opis</w:t>
      </w:r>
      <w:r w:rsidRPr="0079040E">
        <w:rPr>
          <w:bCs/>
          <w:sz w:val="18"/>
          <w:szCs w:val="18"/>
        </w:rPr>
        <w:t xml:space="preserve"> obudowy mechanicznej i gabarytów ładowarki  Plug- in 20kW.</w:t>
      </w:r>
    </w:p>
    <w:p w14:paraId="1B6003D7" w14:textId="77777777" w:rsidR="0084209A" w:rsidRPr="0079040E" w:rsidRDefault="0084209A" w:rsidP="0084209A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           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1"/>
        <w:gridCol w:w="3630"/>
        <w:gridCol w:w="5682"/>
      </w:tblGrid>
      <w:tr w:rsidR="0084209A" w:rsidRPr="0079040E" w14:paraId="5A7B6D5C" w14:textId="77777777" w:rsidTr="007D646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801EFB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14:paraId="47314EC9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9A8596C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84209A" w:rsidRPr="0079040E" w14:paraId="7DF1607B" w14:textId="77777777" w:rsidTr="007D6463">
        <w:trPr>
          <w:trHeight w:hRule="exact" w:val="28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F3631" w14:textId="77777777"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9C3"/>
            <w:tcMar>
              <w:right w:w="0" w:type="dxa"/>
            </w:tcMar>
          </w:tcPr>
          <w:p w14:paraId="646ED27C" w14:textId="77777777"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A8DD357" w14:textId="77777777" w:rsidR="0084209A" w:rsidRPr="0079040E" w:rsidRDefault="0084209A" w:rsidP="007D6463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84209A" w:rsidRPr="0079040E" w14:paraId="352FE8EA" w14:textId="77777777" w:rsidTr="007D646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F5182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56B6C7C2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Obudowa  ładowarki  20kW.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A4E05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0A57D7A6" w14:textId="77777777" w:rsidTr="007D6463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71D59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4DFD859F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Wymiary zewnętrzne obudowy  ładowarki 20kW wys. x szer. x gł. [mm] (maksymalne)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BF7A3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84209A" w:rsidRPr="0079040E" w14:paraId="6C25736C" w14:textId="77777777" w:rsidTr="007D6463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8ADF4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6D3661C0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Zabezpieczenie przed dostępem  osób nieuprawnionych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0E31B" w14:textId="77777777" w:rsidR="0084209A" w:rsidRPr="0079040E" w:rsidRDefault="0084209A" w:rsidP="007D6463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</w:p>
        </w:tc>
      </w:tr>
      <w:tr w:rsidR="0084209A" w:rsidRPr="0079040E" w14:paraId="266B300D" w14:textId="77777777" w:rsidTr="007D6463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9F6A9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26089820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Przewód DC do ładowania autobusu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0B84D" w14:textId="77777777" w:rsidR="0084209A" w:rsidRPr="0079040E" w:rsidRDefault="0084209A" w:rsidP="007D6463">
            <w:pPr>
              <w:pStyle w:val="NormalnyWeb"/>
              <w:spacing w:after="0" w:line="288" w:lineRule="auto"/>
              <w:ind w:left="357"/>
              <w:jc w:val="both"/>
              <w:rPr>
                <w:bCs/>
                <w:sz w:val="18"/>
                <w:szCs w:val="18"/>
              </w:rPr>
            </w:pPr>
          </w:p>
        </w:tc>
      </w:tr>
      <w:tr w:rsidR="0084209A" w:rsidRPr="0079040E" w14:paraId="744CBE93" w14:textId="77777777" w:rsidTr="007D6463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F2089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3A30225A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Posadowienie ładowarki Plug-in 20kW 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2B6D4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84209A" w:rsidRPr="0079040E" w14:paraId="0A905DDF" w14:textId="77777777" w:rsidTr="007D6463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80C42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643B0762" w14:textId="77777777" w:rsidR="0084209A" w:rsidRPr="0079040E" w:rsidRDefault="0084209A" w:rsidP="007D6463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Zabezpieczenie przed dostępem osób nieuprawnionych do wnętrza ładowarki Plug-in 20kW 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71869" w14:textId="77777777" w:rsidR="0084209A" w:rsidRPr="0079040E" w:rsidRDefault="0084209A" w:rsidP="007D646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</w:tbl>
    <w:p w14:paraId="5F6DF2CD" w14:textId="77777777" w:rsidR="00497754" w:rsidRPr="00497754" w:rsidRDefault="00497754" w:rsidP="00156A46">
      <w:pPr>
        <w:tabs>
          <w:tab w:val="left" w:pos="284"/>
        </w:tabs>
        <w:spacing w:after="0" w:line="288" w:lineRule="auto"/>
        <w:ind w:left="1080" w:right="992"/>
      </w:pPr>
    </w:p>
    <w:p w14:paraId="1808848E" w14:textId="77777777" w:rsidR="00EF27EF" w:rsidRDefault="00EF27EF" w:rsidP="00156A46">
      <w:pPr>
        <w:spacing w:after="0" w:line="288" w:lineRule="auto"/>
        <w:ind w:right="-1"/>
        <w:rPr>
          <w:rFonts w:ascii="Tahoma" w:hAnsi="Tahoma" w:cs="Tahoma"/>
          <w:i/>
          <w:sz w:val="18"/>
          <w:szCs w:val="18"/>
        </w:rPr>
      </w:pPr>
    </w:p>
    <w:p w14:paraId="19D20C83" w14:textId="77777777" w:rsidR="00EF27EF" w:rsidRPr="004656EE" w:rsidRDefault="00EF27EF" w:rsidP="00156A46">
      <w:pPr>
        <w:pStyle w:val="Akapitzlist"/>
        <w:numPr>
          <w:ilvl w:val="0"/>
          <w:numId w:val="5"/>
        </w:numPr>
        <w:spacing w:after="0" w:line="288" w:lineRule="auto"/>
        <w:ind w:left="567" w:right="-1" w:hanging="567"/>
      </w:pPr>
      <w:r w:rsidRPr="004656EE">
        <w:rPr>
          <w:rFonts w:ascii="Tahoma" w:hAnsi="Tahoma" w:cs="Tahoma"/>
          <w:sz w:val="18"/>
          <w:szCs w:val="18"/>
        </w:rPr>
        <w:t>Niniejszym oświadczamy, że nie opisane w powyższej treści oraz tabelach parametry tec</w:t>
      </w:r>
      <w:r w:rsidR="00D56AA8">
        <w:rPr>
          <w:rFonts w:ascii="Tahoma" w:hAnsi="Tahoma" w:cs="Tahoma"/>
          <w:sz w:val="18"/>
          <w:szCs w:val="18"/>
        </w:rPr>
        <w:t>hniczne i wyposażenie oferowanych ładowarek</w:t>
      </w:r>
      <w:r w:rsidRPr="004656EE">
        <w:rPr>
          <w:rFonts w:ascii="Tahoma" w:hAnsi="Tahoma" w:cs="Tahoma"/>
          <w:sz w:val="18"/>
          <w:szCs w:val="18"/>
        </w:rPr>
        <w:t xml:space="preserve"> </w:t>
      </w:r>
      <w:r w:rsidR="00A174FD" w:rsidRPr="004656EE">
        <w:rPr>
          <w:rFonts w:ascii="Tahoma" w:hAnsi="Tahoma" w:cs="Tahoma"/>
          <w:sz w:val="18"/>
          <w:szCs w:val="18"/>
        </w:rPr>
        <w:t xml:space="preserve">Plug-in </w:t>
      </w:r>
      <w:r w:rsidR="0084209A">
        <w:rPr>
          <w:rFonts w:ascii="Tahoma" w:hAnsi="Tahoma" w:cs="Tahoma"/>
          <w:sz w:val="18"/>
          <w:szCs w:val="18"/>
        </w:rPr>
        <w:t>2</w:t>
      </w:r>
      <w:r w:rsidR="007F7C08">
        <w:rPr>
          <w:rFonts w:ascii="Tahoma" w:hAnsi="Tahoma" w:cs="Tahoma"/>
          <w:sz w:val="18"/>
          <w:szCs w:val="18"/>
        </w:rPr>
        <w:t>0</w:t>
      </w:r>
      <w:r w:rsidR="004961AB">
        <w:rPr>
          <w:rFonts w:ascii="Tahoma" w:hAnsi="Tahoma" w:cs="Tahoma"/>
          <w:sz w:val="18"/>
          <w:szCs w:val="18"/>
        </w:rPr>
        <w:t>kW</w:t>
      </w:r>
      <w:r w:rsidR="00A174FD" w:rsidRPr="004656EE">
        <w:rPr>
          <w:rFonts w:ascii="Tahoma" w:hAnsi="Tahoma" w:cs="Tahoma"/>
          <w:sz w:val="18"/>
          <w:szCs w:val="18"/>
        </w:rPr>
        <w:t xml:space="preserve"> </w:t>
      </w:r>
      <w:r w:rsidR="00BD1D60" w:rsidRPr="004656EE">
        <w:rPr>
          <w:rFonts w:ascii="Tahoma" w:hAnsi="Tahoma" w:cs="Tahoma"/>
          <w:sz w:val="18"/>
          <w:szCs w:val="18"/>
        </w:rPr>
        <w:t xml:space="preserve"> </w:t>
      </w:r>
      <w:r w:rsidRPr="004656EE">
        <w:rPr>
          <w:rFonts w:ascii="Tahoma" w:hAnsi="Tahoma" w:cs="Tahoma"/>
          <w:sz w:val="18"/>
          <w:szCs w:val="18"/>
        </w:rPr>
        <w:t xml:space="preserve">jest zgodne z wymogami, określonymi przez Zamawiającego w SWZ </w:t>
      </w:r>
      <w:r w:rsidR="00D56AA8">
        <w:rPr>
          <w:rFonts w:ascii="Tahoma" w:hAnsi="Tahoma" w:cs="Tahoma"/>
          <w:sz w:val="18"/>
          <w:szCs w:val="18"/>
        </w:rPr>
        <w:t xml:space="preserve">w tym w załączniku nr </w:t>
      </w:r>
      <w:r w:rsidR="00AB2094">
        <w:rPr>
          <w:rFonts w:ascii="Tahoma" w:hAnsi="Tahoma" w:cs="Tahoma"/>
          <w:sz w:val="18"/>
          <w:szCs w:val="18"/>
        </w:rPr>
        <w:t xml:space="preserve">10.2 </w:t>
      </w:r>
      <w:r w:rsidRPr="004656EE">
        <w:rPr>
          <w:rFonts w:ascii="Tahoma" w:hAnsi="Tahoma" w:cs="Tahoma"/>
          <w:sz w:val="18"/>
          <w:szCs w:val="18"/>
        </w:rPr>
        <w:t>do SWZ</w:t>
      </w:r>
      <w:r w:rsidR="004656EE">
        <w:rPr>
          <w:rFonts w:ascii="Tahoma" w:hAnsi="Tahoma" w:cs="Tahoma"/>
          <w:sz w:val="18"/>
          <w:szCs w:val="18"/>
        </w:rPr>
        <w:t>.</w:t>
      </w:r>
    </w:p>
    <w:sectPr w:rsidR="00EF27EF" w:rsidRPr="004656EE" w:rsidSect="001C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566" w:bottom="1417" w:left="709" w:header="708" w:footer="708" w:gutter="0"/>
      <w:pgNumType w:start="1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BD0D" w14:textId="77777777" w:rsidR="009F2602" w:rsidRDefault="009F2602">
      <w:pPr>
        <w:spacing w:after="0" w:line="240" w:lineRule="auto"/>
      </w:pPr>
      <w:r>
        <w:separator/>
      </w:r>
    </w:p>
  </w:endnote>
  <w:endnote w:type="continuationSeparator" w:id="0">
    <w:p w14:paraId="13FF3080" w14:textId="77777777" w:rsidR="009F2602" w:rsidRDefault="009F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6DE7" w14:textId="77777777" w:rsidR="001C4617" w:rsidRDefault="001C46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D762" w14:textId="77777777" w:rsidR="00EF27EF" w:rsidRDefault="00EF27EF">
    <w:pPr>
      <w:spacing w:after="0" w:line="240" w:lineRule="auto"/>
    </w:pPr>
  </w:p>
  <w:p w14:paraId="013B97EF" w14:textId="77777777" w:rsidR="00EF27EF" w:rsidRDefault="00EF27EF">
    <w:pPr>
      <w:spacing w:after="0" w:line="240" w:lineRule="auto"/>
      <w:jc w:val="right"/>
      <w:rPr>
        <w:rFonts w:ascii="Tahoma" w:hAnsi="Tahoma" w:cs="Tahoma"/>
        <w:sz w:val="14"/>
        <w:szCs w:val="12"/>
      </w:rPr>
    </w:pPr>
    <w:r>
      <w:rPr>
        <w:rFonts w:ascii="Tahoma" w:hAnsi="Tahoma" w:cs="Tahoma"/>
        <w:sz w:val="14"/>
        <w:szCs w:val="12"/>
      </w:rPr>
      <w:t xml:space="preserve">Strona </w:t>
    </w:r>
    <w:r w:rsidR="001709A2">
      <w:rPr>
        <w:rFonts w:ascii="Tahoma" w:hAnsi="Tahoma" w:cs="Tahoma"/>
        <w:sz w:val="14"/>
        <w:szCs w:val="12"/>
      </w:rPr>
      <w:fldChar w:fldCharType="begin"/>
    </w:r>
    <w:r>
      <w:rPr>
        <w:rFonts w:ascii="Tahoma" w:hAnsi="Tahoma" w:cs="Tahoma"/>
        <w:sz w:val="14"/>
        <w:szCs w:val="12"/>
      </w:rPr>
      <w:instrText xml:space="preserve"> PAGE \* ARABIC </w:instrText>
    </w:r>
    <w:r w:rsidR="001709A2">
      <w:rPr>
        <w:rFonts w:ascii="Tahoma" w:hAnsi="Tahoma" w:cs="Tahoma"/>
        <w:sz w:val="14"/>
        <w:szCs w:val="12"/>
      </w:rPr>
      <w:fldChar w:fldCharType="separate"/>
    </w:r>
    <w:r w:rsidR="001C4617">
      <w:rPr>
        <w:rFonts w:ascii="Tahoma" w:hAnsi="Tahoma" w:cs="Tahoma"/>
        <w:noProof/>
        <w:sz w:val="14"/>
        <w:szCs w:val="12"/>
      </w:rPr>
      <w:t>162</w:t>
    </w:r>
    <w:r w:rsidR="001709A2">
      <w:rPr>
        <w:rFonts w:ascii="Tahoma" w:hAnsi="Tahoma" w:cs="Tahoma"/>
        <w:sz w:val="14"/>
        <w:szCs w:val="12"/>
      </w:rPr>
      <w:fldChar w:fldCharType="end"/>
    </w:r>
  </w:p>
  <w:p w14:paraId="66404A51" w14:textId="77777777" w:rsidR="00EF27EF" w:rsidRDefault="00EF27EF">
    <w:pPr>
      <w:pStyle w:val="Stopka"/>
      <w:rPr>
        <w:rFonts w:ascii="Tahoma" w:hAnsi="Tahoma" w:cs="Tahoma"/>
        <w:sz w:val="14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D183" w14:textId="77777777" w:rsidR="001C4617" w:rsidRDefault="001C4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B7A9" w14:textId="77777777" w:rsidR="009F2602" w:rsidRDefault="009F2602">
      <w:pPr>
        <w:spacing w:after="0" w:line="240" w:lineRule="auto"/>
      </w:pPr>
      <w:r>
        <w:separator/>
      </w:r>
    </w:p>
  </w:footnote>
  <w:footnote w:type="continuationSeparator" w:id="0">
    <w:p w14:paraId="3462869A" w14:textId="77777777" w:rsidR="009F2602" w:rsidRDefault="009F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7654" w14:textId="77777777" w:rsidR="001C4617" w:rsidRDefault="001C46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A659" w14:textId="77777777" w:rsidR="001C4617" w:rsidRDefault="001C46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7369" w14:textId="77777777" w:rsidR="001C4617" w:rsidRDefault="001C46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 w:val="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 w:hint="default"/>
        <w:color w:val="00000A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ahoma" w:eastAsia="NSimSun" w:hAnsi="Tahoma" w:cs="Tahoma"/>
        <w:kern w:val="2"/>
        <w:sz w:val="18"/>
        <w:szCs w:val="18"/>
        <w:lang w:eastAsia="hi-IN" w:bidi="hi-I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5948BB4E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color w:val="00000A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2" w15:restartNumberingAfterBreak="0">
    <w:nsid w:val="00000010"/>
    <w:multiLevelType w:val="singleLevel"/>
    <w:tmpl w:val="EB2ED95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3" w15:restartNumberingAfterBreak="0">
    <w:nsid w:val="00000011"/>
    <w:multiLevelType w:val="singleLevel"/>
    <w:tmpl w:val="E87449D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NSimSun" w:hAnsi="Times New Roman" w:cs="Times New Roman" w:hint="default"/>
        <w:bCs/>
        <w:kern w:val="2"/>
        <w:sz w:val="18"/>
        <w:szCs w:val="20"/>
        <w:lang w:eastAsia="pl-PL" w:bidi="hi-I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 w15:restartNumberingAfterBreak="0">
    <w:nsid w:val="06BC0D92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16" w15:restartNumberingAfterBreak="0">
    <w:nsid w:val="0FBA013F"/>
    <w:multiLevelType w:val="hybridMultilevel"/>
    <w:tmpl w:val="C8063054"/>
    <w:lvl w:ilvl="0" w:tplc="5D0E36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4662C"/>
    <w:multiLevelType w:val="hybridMultilevel"/>
    <w:tmpl w:val="38AA4778"/>
    <w:name w:val="WW8Num362222222222222"/>
    <w:lvl w:ilvl="0" w:tplc="2C62FD68">
      <w:start w:val="1"/>
      <w:numFmt w:val="decimal"/>
      <w:pStyle w:val="Nagwek2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 w15:restartNumberingAfterBreak="0">
    <w:nsid w:val="1C453FFB"/>
    <w:multiLevelType w:val="hybridMultilevel"/>
    <w:tmpl w:val="A11E6692"/>
    <w:lvl w:ilvl="0" w:tplc="AA785D1C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22E7372A"/>
    <w:multiLevelType w:val="hybridMultilevel"/>
    <w:tmpl w:val="69FC65B4"/>
    <w:lvl w:ilvl="0" w:tplc="F8D494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8F273C1"/>
    <w:multiLevelType w:val="hybridMultilevel"/>
    <w:tmpl w:val="2418303E"/>
    <w:name w:val="WW8Num142"/>
    <w:lvl w:ilvl="0" w:tplc="0214F78A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E31B8"/>
    <w:multiLevelType w:val="hybridMultilevel"/>
    <w:tmpl w:val="28B288E0"/>
    <w:lvl w:ilvl="0" w:tplc="286C29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194356"/>
    <w:multiLevelType w:val="hybridMultilevel"/>
    <w:tmpl w:val="E7E493AA"/>
    <w:lvl w:ilvl="0" w:tplc="D3CCE74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6C2"/>
    <w:multiLevelType w:val="hybridMultilevel"/>
    <w:tmpl w:val="A524D146"/>
    <w:lvl w:ilvl="0" w:tplc="AA0AC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532E3"/>
    <w:multiLevelType w:val="hybridMultilevel"/>
    <w:tmpl w:val="390A8DE0"/>
    <w:lvl w:ilvl="0" w:tplc="6138FD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2329F"/>
    <w:multiLevelType w:val="hybridMultilevel"/>
    <w:tmpl w:val="1FD81970"/>
    <w:lvl w:ilvl="0" w:tplc="9B72EA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4120566"/>
    <w:multiLevelType w:val="hybridMultilevel"/>
    <w:tmpl w:val="A880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A5DB2"/>
    <w:multiLevelType w:val="hybridMultilevel"/>
    <w:tmpl w:val="2F7C16F8"/>
    <w:name w:val="WW8Num3622222222222222"/>
    <w:lvl w:ilvl="0" w:tplc="99840CBE">
      <w:start w:val="1"/>
      <w:numFmt w:val="lowerLetter"/>
      <w:pStyle w:val="Nagwek3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72090862"/>
    <w:multiLevelType w:val="hybridMultilevel"/>
    <w:tmpl w:val="4D204ED2"/>
    <w:lvl w:ilvl="0" w:tplc="37C8441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333AA3"/>
    <w:multiLevelType w:val="hybridMultilevel"/>
    <w:tmpl w:val="7C1804F2"/>
    <w:lvl w:ilvl="0" w:tplc="CE28795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1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2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26"/>
  </w:num>
  <w:num w:numId="20">
    <w:abstractNumId w:val="17"/>
    <w:lvlOverride w:ilvl="0">
      <w:startOverride w:val="1"/>
    </w:lvlOverride>
  </w:num>
  <w:num w:numId="21">
    <w:abstractNumId w:val="19"/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23"/>
  </w:num>
  <w:num w:numId="25">
    <w:abstractNumId w:val="24"/>
  </w:num>
  <w:num w:numId="26">
    <w:abstractNumId w:val="16"/>
  </w:num>
  <w:num w:numId="27">
    <w:abstractNumId w:val="15"/>
  </w:num>
  <w:num w:numId="28">
    <w:abstractNumId w:val="22"/>
  </w:num>
  <w:num w:numId="29">
    <w:abstractNumId w:val="21"/>
  </w:num>
  <w:num w:numId="30">
    <w:abstractNumId w:val="29"/>
  </w:num>
  <w:num w:numId="31">
    <w:abstractNumId w:val="25"/>
  </w:num>
  <w:num w:numId="32">
    <w:abstractNumId w:val="18"/>
  </w:num>
  <w:num w:numId="33">
    <w:abstractNumId w:val="12"/>
  </w:num>
  <w:num w:numId="34">
    <w:abstractNumId w:val="13"/>
  </w:num>
  <w:num w:numId="35">
    <w:abstractNumId w:val="11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887"/>
    <w:rsid w:val="0001396F"/>
    <w:rsid w:val="00046A2E"/>
    <w:rsid w:val="0009562E"/>
    <w:rsid w:val="000B435B"/>
    <w:rsid w:val="000B49F9"/>
    <w:rsid w:val="001255D5"/>
    <w:rsid w:val="00156A46"/>
    <w:rsid w:val="00162D23"/>
    <w:rsid w:val="001709A2"/>
    <w:rsid w:val="00171E21"/>
    <w:rsid w:val="001C4617"/>
    <w:rsid w:val="001C4F17"/>
    <w:rsid w:val="00221F2B"/>
    <w:rsid w:val="00231EC0"/>
    <w:rsid w:val="0024636B"/>
    <w:rsid w:val="002667A6"/>
    <w:rsid w:val="002817D9"/>
    <w:rsid w:val="002868AE"/>
    <w:rsid w:val="002A0642"/>
    <w:rsid w:val="002C33E4"/>
    <w:rsid w:val="002D386B"/>
    <w:rsid w:val="002D4F8B"/>
    <w:rsid w:val="00360ACD"/>
    <w:rsid w:val="00377A73"/>
    <w:rsid w:val="003967DE"/>
    <w:rsid w:val="003A27DC"/>
    <w:rsid w:val="003C53D7"/>
    <w:rsid w:val="003D3C18"/>
    <w:rsid w:val="003D5587"/>
    <w:rsid w:val="004223CD"/>
    <w:rsid w:val="00424C65"/>
    <w:rsid w:val="00430C62"/>
    <w:rsid w:val="00434155"/>
    <w:rsid w:val="0044295C"/>
    <w:rsid w:val="004656EE"/>
    <w:rsid w:val="004961AB"/>
    <w:rsid w:val="00497754"/>
    <w:rsid w:val="004C014E"/>
    <w:rsid w:val="004F6AF5"/>
    <w:rsid w:val="00502819"/>
    <w:rsid w:val="00514FD3"/>
    <w:rsid w:val="005303F0"/>
    <w:rsid w:val="00545065"/>
    <w:rsid w:val="00566730"/>
    <w:rsid w:val="0057097C"/>
    <w:rsid w:val="00575A32"/>
    <w:rsid w:val="005B1B14"/>
    <w:rsid w:val="00626E25"/>
    <w:rsid w:val="006361F1"/>
    <w:rsid w:val="00644F8E"/>
    <w:rsid w:val="00651D0C"/>
    <w:rsid w:val="006709BF"/>
    <w:rsid w:val="00682E7B"/>
    <w:rsid w:val="00686644"/>
    <w:rsid w:val="006C483D"/>
    <w:rsid w:val="006C4942"/>
    <w:rsid w:val="00716817"/>
    <w:rsid w:val="0072123A"/>
    <w:rsid w:val="00722CB5"/>
    <w:rsid w:val="00740887"/>
    <w:rsid w:val="007510BB"/>
    <w:rsid w:val="007549CC"/>
    <w:rsid w:val="00777734"/>
    <w:rsid w:val="00780918"/>
    <w:rsid w:val="00797E68"/>
    <w:rsid w:val="007B3C1D"/>
    <w:rsid w:val="007C502E"/>
    <w:rsid w:val="007F7C08"/>
    <w:rsid w:val="008316AC"/>
    <w:rsid w:val="0084209A"/>
    <w:rsid w:val="008437DB"/>
    <w:rsid w:val="0084446F"/>
    <w:rsid w:val="00856120"/>
    <w:rsid w:val="00881578"/>
    <w:rsid w:val="008A5B15"/>
    <w:rsid w:val="008F2B64"/>
    <w:rsid w:val="009131B5"/>
    <w:rsid w:val="00927F3A"/>
    <w:rsid w:val="0095179D"/>
    <w:rsid w:val="009D2BA8"/>
    <w:rsid w:val="009E5F8E"/>
    <w:rsid w:val="009F11E0"/>
    <w:rsid w:val="009F2602"/>
    <w:rsid w:val="009F322F"/>
    <w:rsid w:val="00A174FD"/>
    <w:rsid w:val="00A44DB5"/>
    <w:rsid w:val="00A53D09"/>
    <w:rsid w:val="00A61240"/>
    <w:rsid w:val="00A70356"/>
    <w:rsid w:val="00A76DAD"/>
    <w:rsid w:val="00AB2094"/>
    <w:rsid w:val="00AC32D9"/>
    <w:rsid w:val="00AD79EC"/>
    <w:rsid w:val="00AE745A"/>
    <w:rsid w:val="00B05CEE"/>
    <w:rsid w:val="00B23D17"/>
    <w:rsid w:val="00B57010"/>
    <w:rsid w:val="00B73186"/>
    <w:rsid w:val="00BA4242"/>
    <w:rsid w:val="00BC32CE"/>
    <w:rsid w:val="00BC3C52"/>
    <w:rsid w:val="00BD1D60"/>
    <w:rsid w:val="00C205FA"/>
    <w:rsid w:val="00CC0F7E"/>
    <w:rsid w:val="00CC3EE5"/>
    <w:rsid w:val="00D1752A"/>
    <w:rsid w:val="00D35CC9"/>
    <w:rsid w:val="00D4031F"/>
    <w:rsid w:val="00D56AA8"/>
    <w:rsid w:val="00D96B0C"/>
    <w:rsid w:val="00E17844"/>
    <w:rsid w:val="00E236C7"/>
    <w:rsid w:val="00E2398B"/>
    <w:rsid w:val="00EB5722"/>
    <w:rsid w:val="00EF27EF"/>
    <w:rsid w:val="00F128CB"/>
    <w:rsid w:val="00F42003"/>
    <w:rsid w:val="00F867BF"/>
    <w:rsid w:val="00FA65EB"/>
    <w:rsid w:val="00FB3404"/>
    <w:rsid w:val="00F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9C695FB"/>
  <w15:docId w15:val="{05754F43-4885-48F1-8114-7A8677B7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9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709A2"/>
    <w:pPr>
      <w:numPr>
        <w:numId w:val="1"/>
      </w:numPr>
      <w:spacing w:before="120" w:after="120" w:line="240" w:lineRule="auto"/>
      <w:jc w:val="both"/>
      <w:outlineLvl w:val="0"/>
    </w:pPr>
    <w:rPr>
      <w:rFonts w:ascii="Tahoma" w:eastAsia="NSimSun" w:hAnsi="Tahoma" w:cs="Tahoma"/>
      <w:kern w:val="2"/>
      <w:sz w:val="18"/>
      <w:szCs w:val="20"/>
      <w:lang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031F"/>
    <w:pPr>
      <w:keepNext/>
      <w:widowControl w:val="0"/>
      <w:numPr>
        <w:numId w:val="13"/>
      </w:numPr>
      <w:tabs>
        <w:tab w:val="num" w:pos="0"/>
      </w:tabs>
      <w:overflowPunct w:val="0"/>
      <w:autoSpaceDE w:val="0"/>
      <w:spacing w:before="240" w:after="240" w:line="240" w:lineRule="auto"/>
      <w:ind w:left="576" w:hanging="576"/>
      <w:textAlignment w:val="baseline"/>
      <w:outlineLvl w:val="1"/>
    </w:pPr>
    <w:rPr>
      <w:rFonts w:ascii="Times New Roman" w:eastAsia="SimSun" w:hAnsi="Times New Roman" w:cs="Arial"/>
      <w:color w:val="000000"/>
      <w:kern w:val="1"/>
      <w:sz w:val="24"/>
      <w:szCs w:val="20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4031F"/>
    <w:pPr>
      <w:keepNext/>
      <w:numPr>
        <w:numId w:val="15"/>
      </w:numPr>
      <w:spacing w:before="240" w:after="60"/>
      <w:ind w:left="0" w:firstLine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09A2"/>
    <w:rPr>
      <w:rFonts w:hint="default"/>
      <w:b w:val="0"/>
      <w:i w:val="0"/>
      <w:sz w:val="18"/>
      <w:szCs w:val="18"/>
    </w:rPr>
  </w:style>
  <w:style w:type="character" w:customStyle="1" w:styleId="WW8Num1z1">
    <w:name w:val="WW8Num1z1"/>
    <w:rsid w:val="001709A2"/>
  </w:style>
  <w:style w:type="character" w:customStyle="1" w:styleId="WW8Num1z2">
    <w:name w:val="WW8Num1z2"/>
    <w:rsid w:val="001709A2"/>
  </w:style>
  <w:style w:type="character" w:customStyle="1" w:styleId="WW8Num1z3">
    <w:name w:val="WW8Num1z3"/>
    <w:rsid w:val="001709A2"/>
  </w:style>
  <w:style w:type="character" w:customStyle="1" w:styleId="WW8Num1z4">
    <w:name w:val="WW8Num1z4"/>
    <w:rsid w:val="001709A2"/>
  </w:style>
  <w:style w:type="character" w:customStyle="1" w:styleId="WW8Num1z5">
    <w:name w:val="WW8Num1z5"/>
    <w:rsid w:val="001709A2"/>
  </w:style>
  <w:style w:type="character" w:customStyle="1" w:styleId="WW8Num1z6">
    <w:name w:val="WW8Num1z6"/>
    <w:rsid w:val="001709A2"/>
  </w:style>
  <w:style w:type="character" w:customStyle="1" w:styleId="WW8Num1z7">
    <w:name w:val="WW8Num1z7"/>
    <w:rsid w:val="001709A2"/>
  </w:style>
  <w:style w:type="character" w:customStyle="1" w:styleId="WW8Num1z8">
    <w:name w:val="WW8Num1z8"/>
    <w:rsid w:val="001709A2"/>
  </w:style>
  <w:style w:type="character" w:customStyle="1" w:styleId="WW8Num2z0">
    <w:name w:val="WW8Num2z0"/>
    <w:rsid w:val="001709A2"/>
    <w:rPr>
      <w:rFonts w:ascii="Tahoma" w:eastAsia="Times New Roman" w:hAnsi="Tahoma" w:cs="Tahoma"/>
      <w:b w:val="0"/>
      <w:sz w:val="18"/>
      <w:szCs w:val="18"/>
    </w:rPr>
  </w:style>
  <w:style w:type="character" w:customStyle="1" w:styleId="WW8Num3z0">
    <w:name w:val="WW8Num3z0"/>
    <w:rsid w:val="001709A2"/>
    <w:rPr>
      <w:rFonts w:hint="default"/>
    </w:rPr>
  </w:style>
  <w:style w:type="character" w:customStyle="1" w:styleId="WW8Num4z0">
    <w:name w:val="WW8Num4z0"/>
    <w:rsid w:val="001709A2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5z0">
    <w:name w:val="WW8Num5z0"/>
    <w:rsid w:val="001709A2"/>
    <w:rPr>
      <w:rFonts w:ascii="Tahoma" w:eastAsia="Times New Roman" w:hAnsi="Tahoma" w:cs="Tahoma" w:hint="default"/>
      <w:color w:val="00000A"/>
      <w:sz w:val="18"/>
      <w:szCs w:val="18"/>
    </w:rPr>
  </w:style>
  <w:style w:type="character" w:customStyle="1" w:styleId="WW8Num6z0">
    <w:name w:val="WW8Num6z0"/>
    <w:rsid w:val="001709A2"/>
    <w:rPr>
      <w:rFonts w:ascii="Tahoma" w:eastAsia="NSimSun" w:hAnsi="Tahoma" w:cs="Tahoma"/>
      <w:kern w:val="2"/>
      <w:sz w:val="18"/>
      <w:szCs w:val="18"/>
      <w:lang w:eastAsia="hi-IN" w:bidi="hi-IN"/>
    </w:rPr>
  </w:style>
  <w:style w:type="character" w:customStyle="1" w:styleId="WW8Num7z0">
    <w:name w:val="WW8Num7z0"/>
    <w:rsid w:val="001709A2"/>
    <w:rPr>
      <w:rFonts w:ascii="Tahoma" w:hAnsi="Tahoma" w:cs="Tahoma"/>
      <w:sz w:val="18"/>
      <w:szCs w:val="18"/>
    </w:rPr>
  </w:style>
  <w:style w:type="character" w:customStyle="1" w:styleId="WW8Num8z0">
    <w:name w:val="WW8Num8z0"/>
    <w:rsid w:val="001709A2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9z0">
    <w:name w:val="WW8Num9z0"/>
    <w:rsid w:val="001709A2"/>
    <w:rPr>
      <w:rFonts w:hint="default"/>
    </w:rPr>
  </w:style>
  <w:style w:type="character" w:customStyle="1" w:styleId="WW8Num10z0">
    <w:name w:val="WW8Num10z0"/>
    <w:rsid w:val="001709A2"/>
    <w:rPr>
      <w:rFonts w:hint="default"/>
    </w:rPr>
  </w:style>
  <w:style w:type="character" w:customStyle="1" w:styleId="WW8Num11z0">
    <w:name w:val="WW8Num11z0"/>
    <w:rsid w:val="001709A2"/>
    <w:rPr>
      <w:rFonts w:ascii="Tahoma" w:eastAsia="Times New Roman" w:hAnsi="Tahoma" w:cs="Tahoma"/>
      <w:color w:val="00000A"/>
      <w:sz w:val="18"/>
      <w:szCs w:val="18"/>
    </w:rPr>
  </w:style>
  <w:style w:type="character" w:customStyle="1" w:styleId="Domylnaczcionkaakapitu2">
    <w:name w:val="Domyślna czcionka akapitu2"/>
    <w:rsid w:val="001709A2"/>
  </w:style>
  <w:style w:type="character" w:customStyle="1" w:styleId="WW8Num15z0">
    <w:name w:val="WW8Num15z0"/>
    <w:rsid w:val="001709A2"/>
    <w:rPr>
      <w:rFonts w:hint="default"/>
    </w:rPr>
  </w:style>
  <w:style w:type="character" w:customStyle="1" w:styleId="WW8Num16z0">
    <w:name w:val="WW8Num16z0"/>
    <w:rsid w:val="001709A2"/>
    <w:rPr>
      <w:rFonts w:hint="default"/>
    </w:rPr>
  </w:style>
  <w:style w:type="character" w:customStyle="1" w:styleId="WW8Num17z0">
    <w:name w:val="WW8Num17z0"/>
    <w:rsid w:val="001709A2"/>
    <w:rPr>
      <w:rFonts w:hint="default"/>
    </w:rPr>
  </w:style>
  <w:style w:type="character" w:customStyle="1" w:styleId="WW8Num18z0">
    <w:name w:val="WW8Num18z0"/>
    <w:rsid w:val="001709A2"/>
    <w:rPr>
      <w:rFonts w:hint="default"/>
    </w:rPr>
  </w:style>
  <w:style w:type="character" w:customStyle="1" w:styleId="WW8Num19z0">
    <w:name w:val="WW8Num19z0"/>
    <w:rsid w:val="001709A2"/>
    <w:rPr>
      <w:rFonts w:hint="default"/>
    </w:rPr>
  </w:style>
  <w:style w:type="character" w:customStyle="1" w:styleId="WW8Num21z3">
    <w:name w:val="WW8Num21z3"/>
    <w:rsid w:val="001709A2"/>
    <w:rPr>
      <w:rFonts w:hint="default"/>
    </w:rPr>
  </w:style>
  <w:style w:type="character" w:customStyle="1" w:styleId="Domylnaczcionkaakapitu1">
    <w:name w:val="Domyślna czcionka akapitu1"/>
    <w:rsid w:val="001709A2"/>
  </w:style>
  <w:style w:type="character" w:customStyle="1" w:styleId="NagwekZnak">
    <w:name w:val="Nagłówek Znak"/>
    <w:rsid w:val="001709A2"/>
    <w:rPr>
      <w:sz w:val="22"/>
      <w:szCs w:val="22"/>
    </w:rPr>
  </w:style>
  <w:style w:type="character" w:customStyle="1" w:styleId="StopkaZnak">
    <w:name w:val="Stopka Znak"/>
    <w:rsid w:val="001709A2"/>
    <w:rPr>
      <w:sz w:val="22"/>
      <w:szCs w:val="22"/>
    </w:rPr>
  </w:style>
  <w:style w:type="character" w:customStyle="1" w:styleId="Odwoaniedokomentarza1">
    <w:name w:val="Odwołanie do komentarza1"/>
    <w:rsid w:val="001709A2"/>
    <w:rPr>
      <w:sz w:val="16"/>
      <w:szCs w:val="16"/>
    </w:rPr>
  </w:style>
  <w:style w:type="character" w:customStyle="1" w:styleId="TekstkomentarzaZnak">
    <w:name w:val="Tekst komentarza Znak"/>
    <w:rsid w:val="001709A2"/>
  </w:style>
  <w:style w:type="character" w:customStyle="1" w:styleId="TematkomentarzaZnak">
    <w:name w:val="Temat komentarza Znak"/>
    <w:rsid w:val="001709A2"/>
    <w:rPr>
      <w:b/>
      <w:bCs/>
    </w:rPr>
  </w:style>
  <w:style w:type="character" w:customStyle="1" w:styleId="TekstdymkaZnak">
    <w:name w:val="Tekst dymka Znak"/>
    <w:rsid w:val="001709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1709A2"/>
    <w:rPr>
      <w:rFonts w:ascii="Tahoma" w:eastAsia="NSimSun" w:hAnsi="Tahoma" w:cs="Tahoma"/>
      <w:kern w:val="2"/>
      <w:sz w:val="18"/>
      <w:lang w:bidi="hi-IN"/>
    </w:rPr>
  </w:style>
  <w:style w:type="character" w:customStyle="1" w:styleId="Odwoaniedokomentarza2">
    <w:name w:val="Odwołanie do komentarza2"/>
    <w:rsid w:val="001709A2"/>
    <w:rPr>
      <w:sz w:val="16"/>
      <w:szCs w:val="16"/>
    </w:rPr>
  </w:style>
  <w:style w:type="character" w:customStyle="1" w:styleId="TekstkomentarzaZnak1">
    <w:name w:val="Tekst komentarza Znak1"/>
    <w:rsid w:val="001709A2"/>
    <w:rPr>
      <w:rFonts w:ascii="Calibri" w:eastAsia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1709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709A2"/>
    <w:pPr>
      <w:spacing w:after="140"/>
    </w:pPr>
  </w:style>
  <w:style w:type="paragraph" w:styleId="Lista">
    <w:name w:val="List"/>
    <w:basedOn w:val="Tekstpodstawowy"/>
    <w:rsid w:val="001709A2"/>
    <w:rPr>
      <w:rFonts w:cs="Arial"/>
    </w:rPr>
  </w:style>
  <w:style w:type="paragraph" w:styleId="Legenda">
    <w:name w:val="caption"/>
    <w:basedOn w:val="Normalny"/>
    <w:qFormat/>
    <w:rsid w:val="001709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709A2"/>
    <w:pPr>
      <w:suppressLineNumbers/>
    </w:pPr>
    <w:rPr>
      <w:rFonts w:cs="Times New Roman"/>
    </w:rPr>
  </w:style>
  <w:style w:type="paragraph" w:customStyle="1" w:styleId="Nagwek10">
    <w:name w:val="Nagłówek1"/>
    <w:basedOn w:val="Normalny"/>
    <w:next w:val="Tekstpodstawowy"/>
    <w:rsid w:val="001709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1709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rsid w:val="001709A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709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709A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1709A2"/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1709A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709A2"/>
    <w:rPr>
      <w:b/>
      <w:bCs/>
    </w:rPr>
  </w:style>
  <w:style w:type="paragraph" w:styleId="Tekstdymka">
    <w:name w:val="Balloon Text"/>
    <w:basedOn w:val="Normalny"/>
    <w:rsid w:val="001709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709A2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1709A2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1709A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40887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740887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740887"/>
    <w:rPr>
      <w:rFonts w:ascii="Calibri" w:eastAsia="Calibri" w:hAnsi="Calibri" w:cs="Calibri"/>
      <w:lang w:eastAsia="zh-CN"/>
    </w:rPr>
  </w:style>
  <w:style w:type="character" w:customStyle="1" w:styleId="Nagwek2Znak">
    <w:name w:val="Nagłówek 2 Znak"/>
    <w:link w:val="Nagwek2"/>
    <w:uiPriority w:val="99"/>
    <w:rsid w:val="00D4031F"/>
    <w:rPr>
      <w:rFonts w:eastAsia="SimSun" w:cs="Arial"/>
      <w:color w:val="000000"/>
      <w:kern w:val="1"/>
      <w:sz w:val="24"/>
      <w:lang w:eastAsia="hi-IN" w:bidi="hi-IN"/>
    </w:rPr>
  </w:style>
  <w:style w:type="character" w:customStyle="1" w:styleId="Nagwek3Znak">
    <w:name w:val="Nagłówek 3 Znak"/>
    <w:link w:val="Nagwek3"/>
    <w:uiPriority w:val="99"/>
    <w:rsid w:val="00D4031F"/>
    <w:rPr>
      <w:rFonts w:ascii="Cambria" w:hAnsi="Cambria"/>
      <w:b/>
      <w:bCs/>
      <w:sz w:val="26"/>
      <w:szCs w:val="26"/>
      <w:lang w:eastAsia="zh-CN"/>
    </w:rPr>
  </w:style>
  <w:style w:type="paragraph" w:styleId="Akapitzlist">
    <w:name w:val="List Paragraph"/>
    <w:basedOn w:val="Normalny"/>
    <w:qFormat/>
    <w:rsid w:val="0036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Mucha</dc:creator>
  <cp:lastModifiedBy>jkalicki</cp:lastModifiedBy>
  <cp:revision>7</cp:revision>
  <cp:lastPrinted>2023-10-10T15:50:00Z</cp:lastPrinted>
  <dcterms:created xsi:type="dcterms:W3CDTF">2024-10-02T09:16:00Z</dcterms:created>
  <dcterms:modified xsi:type="dcterms:W3CDTF">2025-02-26T08:47:00Z</dcterms:modified>
</cp:coreProperties>
</file>