
<file path=[Content_Types].xml><?xml version="1.0" encoding="utf-8"?>
<Types xmlns="http://schemas.openxmlformats.org/package/2006/content-types">
  <Default Extension="bin" ContentType="application/vnd.openxmlformats-officedocument.oleObject"/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6F33A6" w14:textId="77777777" w:rsidR="0094105C" w:rsidRPr="00A830E9" w:rsidRDefault="0094105C" w:rsidP="00827F3D">
      <w:pPr>
        <w:pStyle w:val="Nagwek1"/>
        <w:spacing w:before="0" w:after="0"/>
      </w:pPr>
      <w:bookmarkStart w:id="0" w:name="_Toc406913871"/>
      <w:bookmarkStart w:id="1" w:name="_Toc406914116"/>
      <w:bookmarkStart w:id="2" w:name="_Toc406914770"/>
      <w:bookmarkStart w:id="3" w:name="_Toc406914873"/>
      <w:bookmarkStart w:id="4" w:name="_Toc406915348"/>
      <w:bookmarkStart w:id="5" w:name="_Toc406984041"/>
      <w:bookmarkStart w:id="6" w:name="_Toc406984188"/>
      <w:bookmarkStart w:id="7" w:name="_Toc406984379"/>
      <w:bookmarkStart w:id="8" w:name="_Toc407069587"/>
      <w:bookmarkStart w:id="9" w:name="_Toc407081552"/>
      <w:bookmarkStart w:id="10" w:name="_Toc407081695"/>
      <w:bookmarkStart w:id="11" w:name="_Toc407083351"/>
      <w:bookmarkStart w:id="12" w:name="_Toc407084185"/>
      <w:bookmarkStart w:id="13" w:name="_Toc407085304"/>
      <w:bookmarkStart w:id="14" w:name="_Toc407085447"/>
      <w:bookmarkStart w:id="15" w:name="_Toc407085590"/>
      <w:bookmarkStart w:id="16" w:name="_Toc407086038"/>
      <w:r w:rsidRPr="00A830E9">
        <w:t>D</w:t>
      </w:r>
      <w:r w:rsidR="002118C8">
        <w:t xml:space="preserve"> – </w:t>
      </w:r>
      <w:r w:rsidRPr="00A830E9">
        <w:t>04.02.01</w:t>
      </w:r>
      <w:r w:rsidR="004B2BFD">
        <w:tab/>
      </w:r>
      <w:r w:rsidRPr="00A830E9">
        <w:t>WARSTWY ODSĄCZAJĄCE I ODCINAJĄCE</w:t>
      </w:r>
    </w:p>
    <w:p w14:paraId="251D5A79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r w:rsidRPr="00A830E9">
        <w:rPr>
          <w:rFonts w:ascii="Calibri" w:hAnsi="Calibri" w:cs="Calibri"/>
          <w:b/>
          <w:bCs/>
        </w:rPr>
        <w:t>1. 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</w:p>
    <w:p w14:paraId="72248E66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17" w:name="_Toc406913872"/>
      <w:bookmarkStart w:id="18" w:name="_Toc406914117"/>
      <w:bookmarkStart w:id="19" w:name="_Toc406914771"/>
      <w:bookmarkStart w:id="20" w:name="_Toc406914874"/>
      <w:bookmarkStart w:id="21" w:name="_Toc406915349"/>
      <w:bookmarkStart w:id="22" w:name="_Toc406984042"/>
      <w:bookmarkStart w:id="23" w:name="_Toc406984189"/>
      <w:bookmarkStart w:id="24" w:name="_Toc406984380"/>
      <w:bookmarkStart w:id="25" w:name="_Toc407069588"/>
      <w:bookmarkStart w:id="26" w:name="_Toc407081553"/>
      <w:bookmarkStart w:id="27" w:name="_Toc407081696"/>
      <w:bookmarkStart w:id="28" w:name="_Toc407083352"/>
      <w:bookmarkStart w:id="29" w:name="_Toc407084186"/>
      <w:bookmarkStart w:id="30" w:name="_Toc407085305"/>
      <w:bookmarkStart w:id="31" w:name="_Toc407085448"/>
      <w:bookmarkStart w:id="32" w:name="_Toc407085591"/>
      <w:bookmarkStart w:id="33" w:name="_Toc407086039"/>
      <w:r w:rsidRPr="00A830E9">
        <w:rPr>
          <w:rFonts w:ascii="Calibri" w:hAnsi="Calibri" w:cs="Calibri"/>
          <w:b/>
          <w:bCs/>
        </w:rPr>
        <w:t>1.1. Przedmiot OST</w:t>
      </w:r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</w:p>
    <w:p w14:paraId="7F77D2F7" w14:textId="1FB9625B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Przedmiotem niniejszej ogólnej specyfikacji technicznej (OST) są wymagania dotyczące wykonania i odbioru robót związanych z wykonaniem warstw odsączających i odcinających</w:t>
      </w:r>
      <w:r w:rsidR="007B1E4E" w:rsidRPr="007B1E4E">
        <w:rPr>
          <w:rFonts w:ascii="Calibri" w:hAnsi="Calibri" w:cs="Calibri"/>
        </w:rPr>
        <w:t xml:space="preserve"> </w:t>
      </w:r>
      <w:r w:rsidR="007B1E4E">
        <w:rPr>
          <w:rFonts w:ascii="Calibri" w:hAnsi="Calibri" w:cs="Calibri"/>
        </w:rPr>
        <w:t xml:space="preserve">przy realizowanej inwestycji </w:t>
      </w:r>
      <w:r w:rsidR="007B1E4E">
        <w:rPr>
          <w:rFonts w:ascii="Calibri" w:hAnsi="Calibri" w:cs="Calibri"/>
          <w:b/>
        </w:rPr>
        <w:t>„Przebudowa drogi powiatowej nr 1543N i 1541N na odcinku Kotowo-Morawa</w:t>
      </w:r>
      <w:r w:rsidR="007B1E4E">
        <w:rPr>
          <w:rFonts w:ascii="Calibri" w:hAnsi="Calibri" w:cs="Calibri"/>
          <w:b/>
          <w:bCs/>
        </w:rPr>
        <w:t>”</w:t>
      </w:r>
      <w:r w:rsidR="007B1E4E">
        <w:rPr>
          <w:rFonts w:ascii="Calibri" w:hAnsi="Calibri" w:cs="Calibri"/>
        </w:rPr>
        <w:t>.</w:t>
      </w:r>
    </w:p>
    <w:p w14:paraId="32E54DEF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34" w:name="_Toc406913873"/>
      <w:bookmarkStart w:id="35" w:name="_Toc406914118"/>
      <w:bookmarkStart w:id="36" w:name="_Toc406914772"/>
      <w:bookmarkStart w:id="37" w:name="_Toc406914875"/>
      <w:bookmarkStart w:id="38" w:name="_Toc406915350"/>
      <w:bookmarkStart w:id="39" w:name="_Toc406984043"/>
      <w:bookmarkStart w:id="40" w:name="_Toc406984190"/>
      <w:bookmarkStart w:id="41" w:name="_Toc406984381"/>
      <w:bookmarkStart w:id="42" w:name="_Toc407069589"/>
      <w:bookmarkStart w:id="43" w:name="_Toc407081554"/>
      <w:bookmarkStart w:id="44" w:name="_Toc407081697"/>
      <w:bookmarkStart w:id="45" w:name="_Toc407083353"/>
      <w:bookmarkStart w:id="46" w:name="_Toc407084187"/>
      <w:bookmarkStart w:id="47" w:name="_Toc407085306"/>
      <w:bookmarkStart w:id="48" w:name="_Toc407085449"/>
      <w:bookmarkStart w:id="49" w:name="_Toc407085592"/>
      <w:bookmarkStart w:id="50" w:name="_Toc407086040"/>
      <w:r w:rsidRPr="00A830E9">
        <w:rPr>
          <w:rFonts w:ascii="Calibri" w:hAnsi="Calibri" w:cs="Calibri"/>
          <w:b/>
          <w:bCs/>
        </w:rPr>
        <w:t>1.2. Zakres stosowania OST</w:t>
      </w:r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</w:p>
    <w:p w14:paraId="21EB9B93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14:paraId="66BC1065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Zaleca się wykorzystanie OST przy zlecaniu robót na drogach miejskich i gminnych.</w:t>
      </w:r>
    </w:p>
    <w:p w14:paraId="57CDE328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51" w:name="_Toc406913874"/>
      <w:bookmarkStart w:id="52" w:name="_Toc406914119"/>
      <w:bookmarkStart w:id="53" w:name="_Toc406914773"/>
      <w:bookmarkStart w:id="54" w:name="_Toc406914876"/>
      <w:bookmarkStart w:id="55" w:name="_Toc406915351"/>
      <w:bookmarkStart w:id="56" w:name="_Toc406984044"/>
      <w:bookmarkStart w:id="57" w:name="_Toc406984191"/>
      <w:bookmarkStart w:id="58" w:name="_Toc406984382"/>
      <w:bookmarkStart w:id="59" w:name="_Toc407069590"/>
      <w:bookmarkStart w:id="60" w:name="_Toc407081555"/>
      <w:bookmarkStart w:id="61" w:name="_Toc407081698"/>
      <w:bookmarkStart w:id="62" w:name="_Toc407083354"/>
      <w:bookmarkStart w:id="63" w:name="_Toc407084188"/>
      <w:bookmarkStart w:id="64" w:name="_Toc407085307"/>
      <w:bookmarkStart w:id="65" w:name="_Toc407085450"/>
      <w:bookmarkStart w:id="66" w:name="_Toc407085593"/>
      <w:bookmarkStart w:id="67" w:name="_Toc407086041"/>
      <w:r w:rsidRPr="00A830E9">
        <w:rPr>
          <w:rFonts w:ascii="Calibri" w:hAnsi="Calibri" w:cs="Calibri"/>
          <w:b/>
          <w:bCs/>
        </w:rPr>
        <w:t>1.3. Zakres robót objętych OST</w:t>
      </w:r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</w:p>
    <w:p w14:paraId="10906806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 xml:space="preserve">Ustalenia zawarte w niniejszej specyfikacji dotyczą zasad prowadzenia robót związanych z wykonaniem warstw odsączających i odcinających, stanowiących część podbudowy pomocniczej, w przypadku gdy podłoże stanowi grunt </w:t>
      </w:r>
      <w:proofErr w:type="spellStart"/>
      <w:r w:rsidRPr="00A830E9">
        <w:rPr>
          <w:rFonts w:ascii="Calibri" w:hAnsi="Calibri" w:cs="Calibri"/>
        </w:rPr>
        <w:t>wysadzinowy</w:t>
      </w:r>
      <w:proofErr w:type="spellEnd"/>
      <w:r w:rsidRPr="00A830E9">
        <w:rPr>
          <w:rFonts w:ascii="Calibri" w:hAnsi="Calibri" w:cs="Calibri"/>
        </w:rPr>
        <w:t xml:space="preserve"> lub wątpliwy, nieulepszony spoiwem lub lepiszczem. </w:t>
      </w:r>
    </w:p>
    <w:p w14:paraId="0EF376A3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68" w:name="_Toc406913875"/>
      <w:bookmarkStart w:id="69" w:name="_Toc406914120"/>
      <w:bookmarkStart w:id="70" w:name="_Toc406914774"/>
      <w:bookmarkStart w:id="71" w:name="_Toc406914877"/>
      <w:bookmarkStart w:id="72" w:name="_Toc406915352"/>
      <w:bookmarkStart w:id="73" w:name="_Toc406984045"/>
      <w:bookmarkStart w:id="74" w:name="_Toc406984192"/>
      <w:bookmarkStart w:id="75" w:name="_Toc406984383"/>
      <w:bookmarkStart w:id="76" w:name="_Toc407069591"/>
      <w:bookmarkStart w:id="77" w:name="_Toc407081556"/>
      <w:bookmarkStart w:id="78" w:name="_Toc407081699"/>
      <w:bookmarkStart w:id="79" w:name="_Toc407083355"/>
      <w:bookmarkStart w:id="80" w:name="_Toc407084189"/>
      <w:bookmarkStart w:id="81" w:name="_Toc407085308"/>
      <w:bookmarkStart w:id="82" w:name="_Toc407085451"/>
      <w:bookmarkStart w:id="83" w:name="_Toc407085594"/>
      <w:bookmarkStart w:id="84" w:name="_Toc407086042"/>
      <w:r w:rsidRPr="00A830E9">
        <w:rPr>
          <w:rFonts w:ascii="Calibri" w:hAnsi="Calibri" w:cs="Calibri"/>
          <w:b/>
          <w:bCs/>
        </w:rPr>
        <w:t>1.4. Określenia podstawowe</w:t>
      </w:r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</w:p>
    <w:p w14:paraId="2D1B177E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Określenia podstawowe są zgodne z obowiązującymi, odpowiednimi polskimi normami i z określeniami podanymi w OST D-M-00.00.00 „Wymagania ogólne” pkt 1.4.</w:t>
      </w:r>
    </w:p>
    <w:p w14:paraId="0361132B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85" w:name="_Toc406913876"/>
      <w:bookmarkStart w:id="86" w:name="_Toc406914121"/>
      <w:bookmarkStart w:id="87" w:name="_Toc406914775"/>
      <w:bookmarkStart w:id="88" w:name="_Toc406914878"/>
      <w:bookmarkStart w:id="89" w:name="_Toc406915353"/>
      <w:bookmarkStart w:id="90" w:name="_Toc406984046"/>
      <w:bookmarkStart w:id="91" w:name="_Toc406984193"/>
      <w:bookmarkStart w:id="92" w:name="_Toc406984384"/>
      <w:bookmarkStart w:id="93" w:name="_Toc407069592"/>
      <w:bookmarkStart w:id="94" w:name="_Toc407081557"/>
      <w:bookmarkStart w:id="95" w:name="_Toc407081700"/>
      <w:bookmarkStart w:id="96" w:name="_Toc407083356"/>
      <w:bookmarkStart w:id="97" w:name="_Toc407084190"/>
      <w:bookmarkStart w:id="98" w:name="_Toc407085309"/>
      <w:bookmarkStart w:id="99" w:name="_Toc407085452"/>
      <w:bookmarkStart w:id="100" w:name="_Toc407085595"/>
      <w:bookmarkStart w:id="101" w:name="_Toc407086043"/>
      <w:r w:rsidRPr="00A830E9">
        <w:rPr>
          <w:rFonts w:ascii="Calibri" w:hAnsi="Calibri" w:cs="Calibri"/>
          <w:b/>
          <w:bCs/>
        </w:rPr>
        <w:t>1.5. Ogólne wymagania dotyczące robót</w:t>
      </w:r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</w:p>
    <w:p w14:paraId="3E291CA8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Ogólne wymagania dotyczące robót podano w OST D-M-00.00.00 „Wymagania ogólne” pkt 1.5.</w:t>
      </w:r>
    </w:p>
    <w:p w14:paraId="4A3D302C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102" w:name="_Toc406913877"/>
      <w:bookmarkStart w:id="103" w:name="_Toc406914122"/>
      <w:bookmarkStart w:id="104" w:name="_Toc406914776"/>
      <w:bookmarkStart w:id="105" w:name="_Toc406914879"/>
      <w:bookmarkStart w:id="106" w:name="_Toc406915354"/>
      <w:bookmarkStart w:id="107" w:name="_Toc406984047"/>
      <w:bookmarkStart w:id="108" w:name="_Toc406984194"/>
      <w:bookmarkStart w:id="109" w:name="_Toc406984385"/>
      <w:bookmarkStart w:id="110" w:name="_Toc407069593"/>
      <w:bookmarkStart w:id="111" w:name="_Toc407081558"/>
      <w:bookmarkStart w:id="112" w:name="_Toc407081701"/>
      <w:bookmarkStart w:id="113" w:name="_Toc407083357"/>
      <w:bookmarkStart w:id="114" w:name="_Toc407084191"/>
      <w:bookmarkStart w:id="115" w:name="_Toc407085310"/>
      <w:bookmarkStart w:id="116" w:name="_Toc407085453"/>
      <w:bookmarkStart w:id="117" w:name="_Toc407085596"/>
      <w:bookmarkStart w:id="118" w:name="_Toc407086044"/>
      <w:r w:rsidRPr="00A830E9">
        <w:rPr>
          <w:rFonts w:ascii="Calibri" w:hAnsi="Calibri" w:cs="Calibri"/>
          <w:b/>
          <w:bCs/>
        </w:rPr>
        <w:t xml:space="preserve">2. </w:t>
      </w:r>
      <w:r w:rsidR="00081B50" w:rsidRPr="00A830E9">
        <w:rPr>
          <w:rFonts w:ascii="Calibri" w:hAnsi="Calibri" w:cs="Calibri"/>
          <w:b/>
          <w:bCs/>
        </w:rPr>
        <w:t>M</w:t>
      </w:r>
      <w:r w:rsidRPr="00A830E9">
        <w:rPr>
          <w:rFonts w:ascii="Calibri" w:hAnsi="Calibri" w:cs="Calibri"/>
          <w:b/>
          <w:bCs/>
        </w:rPr>
        <w:t>ateriały</w:t>
      </w:r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</w:p>
    <w:p w14:paraId="286DEB57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119" w:name="_Toc406913878"/>
      <w:bookmarkStart w:id="120" w:name="_Toc406914123"/>
      <w:bookmarkStart w:id="121" w:name="_Toc406914777"/>
      <w:bookmarkStart w:id="122" w:name="_Toc406914880"/>
      <w:bookmarkStart w:id="123" w:name="_Toc406915355"/>
      <w:bookmarkStart w:id="124" w:name="_Toc406984048"/>
      <w:bookmarkStart w:id="125" w:name="_Toc406984195"/>
      <w:bookmarkStart w:id="126" w:name="_Toc406984386"/>
      <w:bookmarkStart w:id="127" w:name="_Toc407069594"/>
      <w:bookmarkStart w:id="128" w:name="_Toc407081559"/>
      <w:bookmarkStart w:id="129" w:name="_Toc407081702"/>
      <w:bookmarkStart w:id="130" w:name="_Toc407083358"/>
      <w:bookmarkStart w:id="131" w:name="_Toc407084192"/>
      <w:bookmarkStart w:id="132" w:name="_Toc407085311"/>
      <w:bookmarkStart w:id="133" w:name="_Toc407085454"/>
      <w:bookmarkStart w:id="134" w:name="_Toc407085597"/>
      <w:bookmarkStart w:id="135" w:name="_Toc407086045"/>
      <w:r w:rsidRPr="00A830E9">
        <w:rPr>
          <w:rFonts w:ascii="Calibri" w:hAnsi="Calibri" w:cs="Calibri"/>
          <w:b/>
          <w:bCs/>
        </w:rPr>
        <w:t>2.1. Ogólne wymagania dotyczące materiałów</w:t>
      </w:r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</w:p>
    <w:p w14:paraId="1BEA3CE7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Ogólne wymagania dotyczące materiałów, ich pozyskiwania i składowania, podano w OST D-M-00.00.00 „Wymagania ogólne” pkt 2.</w:t>
      </w:r>
    </w:p>
    <w:p w14:paraId="042F2AA9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136" w:name="_Toc406913879"/>
      <w:bookmarkStart w:id="137" w:name="_Toc406914124"/>
      <w:bookmarkStart w:id="138" w:name="_Toc406914778"/>
      <w:bookmarkStart w:id="139" w:name="_Toc406914881"/>
      <w:bookmarkStart w:id="140" w:name="_Toc406915356"/>
      <w:bookmarkStart w:id="141" w:name="_Toc406984049"/>
      <w:bookmarkStart w:id="142" w:name="_Toc406984196"/>
      <w:bookmarkStart w:id="143" w:name="_Toc406984387"/>
      <w:bookmarkStart w:id="144" w:name="_Toc407069595"/>
      <w:bookmarkStart w:id="145" w:name="_Toc407081560"/>
      <w:bookmarkStart w:id="146" w:name="_Toc407081703"/>
      <w:bookmarkStart w:id="147" w:name="_Toc407083359"/>
      <w:bookmarkStart w:id="148" w:name="_Toc407084193"/>
      <w:bookmarkStart w:id="149" w:name="_Toc407085312"/>
      <w:bookmarkStart w:id="150" w:name="_Toc407085455"/>
      <w:bookmarkStart w:id="151" w:name="_Toc407085598"/>
      <w:bookmarkStart w:id="152" w:name="_Toc407086046"/>
      <w:r w:rsidRPr="00A830E9">
        <w:rPr>
          <w:rFonts w:ascii="Calibri" w:hAnsi="Calibri" w:cs="Calibri"/>
          <w:b/>
          <w:bCs/>
        </w:rPr>
        <w:t>2.2. Rodzaje materiałów</w:t>
      </w:r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</w:p>
    <w:p w14:paraId="2084467A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Materiałami stosowanymi przy wykonywaniu warstw odsączających są:</w:t>
      </w:r>
    </w:p>
    <w:p w14:paraId="0D9068D3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piaski,</w:t>
      </w:r>
    </w:p>
    <w:p w14:paraId="78122A76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żwir i mieszanka,</w:t>
      </w:r>
    </w:p>
    <w:p w14:paraId="6BF3D977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geowłókniny,</w:t>
      </w:r>
    </w:p>
    <w:p w14:paraId="04EA99F4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>a odcinających - oprócz wyżej wymienionych:</w:t>
      </w:r>
    </w:p>
    <w:p w14:paraId="3720D286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miał (kamienny).</w:t>
      </w:r>
    </w:p>
    <w:p w14:paraId="013930F5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153" w:name="_Toc406913880"/>
      <w:bookmarkStart w:id="154" w:name="_Toc406914125"/>
      <w:bookmarkStart w:id="155" w:name="_Toc406914779"/>
      <w:bookmarkStart w:id="156" w:name="_Toc406914882"/>
      <w:bookmarkStart w:id="157" w:name="_Toc406915357"/>
      <w:bookmarkStart w:id="158" w:name="_Toc406984050"/>
      <w:bookmarkStart w:id="159" w:name="_Toc406984197"/>
      <w:bookmarkStart w:id="160" w:name="_Toc406984388"/>
      <w:bookmarkStart w:id="161" w:name="_Toc407069596"/>
      <w:bookmarkStart w:id="162" w:name="_Toc407081561"/>
      <w:bookmarkStart w:id="163" w:name="_Toc407081704"/>
      <w:bookmarkStart w:id="164" w:name="_Toc407083360"/>
      <w:bookmarkStart w:id="165" w:name="_Toc407084194"/>
      <w:bookmarkStart w:id="166" w:name="_Toc407085313"/>
      <w:bookmarkStart w:id="167" w:name="_Toc407085456"/>
      <w:bookmarkStart w:id="168" w:name="_Toc407085599"/>
      <w:bookmarkStart w:id="169" w:name="_Toc407086047"/>
      <w:r w:rsidRPr="00A830E9">
        <w:rPr>
          <w:rFonts w:ascii="Calibri" w:hAnsi="Calibri" w:cs="Calibri"/>
          <w:b/>
          <w:bCs/>
        </w:rPr>
        <w:t>2.3. Wymagania dla kruszywa</w:t>
      </w:r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</w:p>
    <w:p w14:paraId="0A17C50E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Kruszywa do wykonania warstw odsączających i odcinających powinny spełniać następujące warunki:</w:t>
      </w:r>
    </w:p>
    <w:p w14:paraId="4CEF5758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>a) szczelności, określony zależnością:</w:t>
      </w:r>
    </w:p>
    <w:p w14:paraId="14F6A539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position w:val="-20"/>
        </w:rPr>
        <w:object w:dxaOrig="740" w:dyaOrig="600" w14:anchorId="32B3C98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.6pt;height:30pt" o:ole="">
            <v:imagedata r:id="rId7" o:title=""/>
          </v:shape>
          <o:OLEObject Type="Embed" ProgID="Equation.2" ShapeID="_x0000_i1025" DrawAspect="Content" ObjectID="_1804418072" r:id="rId8"/>
        </w:object>
      </w:r>
    </w:p>
    <w:p w14:paraId="552D3A32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>gdzie:</w:t>
      </w:r>
    </w:p>
    <w:p w14:paraId="431E7CBC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i/>
        </w:rPr>
        <w:t>D</w:t>
      </w:r>
      <w:r w:rsidRPr="00A830E9">
        <w:rPr>
          <w:rFonts w:ascii="Calibri" w:hAnsi="Calibri" w:cs="Calibri"/>
          <w:vertAlign w:val="subscript"/>
        </w:rPr>
        <w:t>15</w:t>
      </w:r>
      <w:r w:rsidRPr="00A830E9">
        <w:rPr>
          <w:rFonts w:ascii="Calibri" w:hAnsi="Calibri" w:cs="Calibri"/>
        </w:rPr>
        <w:t xml:space="preserve"> - wymiar sita, przez które przechodzi 15% </w:t>
      </w:r>
      <w:proofErr w:type="spellStart"/>
      <w:r w:rsidRPr="00A830E9">
        <w:rPr>
          <w:rFonts w:ascii="Calibri" w:hAnsi="Calibri" w:cs="Calibri"/>
        </w:rPr>
        <w:t>ziarn</w:t>
      </w:r>
      <w:proofErr w:type="spellEnd"/>
      <w:r w:rsidRPr="00A830E9">
        <w:rPr>
          <w:rFonts w:ascii="Calibri" w:hAnsi="Calibri" w:cs="Calibri"/>
        </w:rPr>
        <w:t xml:space="preserve"> warstwy odcinającej lub odsączającej</w:t>
      </w:r>
    </w:p>
    <w:p w14:paraId="03A419B5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i/>
        </w:rPr>
        <w:t>d</w:t>
      </w:r>
      <w:r w:rsidRPr="00A830E9">
        <w:rPr>
          <w:rFonts w:ascii="Calibri" w:hAnsi="Calibri" w:cs="Calibri"/>
          <w:vertAlign w:val="subscript"/>
        </w:rPr>
        <w:t xml:space="preserve">85 </w:t>
      </w:r>
      <w:r w:rsidRPr="00A830E9">
        <w:rPr>
          <w:rFonts w:ascii="Calibri" w:hAnsi="Calibri" w:cs="Calibri"/>
        </w:rPr>
        <w:t xml:space="preserve"> - wymiar sita, przez które przechodzi 85% </w:t>
      </w:r>
      <w:proofErr w:type="spellStart"/>
      <w:r w:rsidRPr="00A830E9">
        <w:rPr>
          <w:rFonts w:ascii="Calibri" w:hAnsi="Calibri" w:cs="Calibri"/>
        </w:rPr>
        <w:t>ziarn</w:t>
      </w:r>
      <w:proofErr w:type="spellEnd"/>
      <w:r w:rsidRPr="00A830E9">
        <w:rPr>
          <w:rFonts w:ascii="Calibri" w:hAnsi="Calibri" w:cs="Calibri"/>
        </w:rPr>
        <w:t xml:space="preserve"> gruntu podłoża.</w:t>
      </w:r>
    </w:p>
    <w:p w14:paraId="497AED53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Dla materiałów stosowanych przy wykonywaniu warstw odsączających warunek szczelności musi być spełniony, gdy warstwa ta nie jest układana na warstwie odcinającej.</w:t>
      </w:r>
    </w:p>
    <w:p w14:paraId="0BEF6851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 xml:space="preserve">b) </w:t>
      </w:r>
      <w:proofErr w:type="spellStart"/>
      <w:r w:rsidRPr="00A830E9">
        <w:rPr>
          <w:rFonts w:ascii="Calibri" w:hAnsi="Calibri" w:cs="Calibri"/>
        </w:rPr>
        <w:t>zagęszczalności</w:t>
      </w:r>
      <w:proofErr w:type="spellEnd"/>
      <w:r w:rsidRPr="00A830E9">
        <w:rPr>
          <w:rFonts w:ascii="Calibri" w:hAnsi="Calibri" w:cs="Calibri"/>
        </w:rPr>
        <w:t>, określony zależnością:</w:t>
      </w:r>
    </w:p>
    <w:p w14:paraId="7A8192C3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position w:val="-26"/>
        </w:rPr>
        <w:object w:dxaOrig="1100" w:dyaOrig="680" w14:anchorId="3647ABC5">
          <v:shape id="_x0000_i1026" type="#_x0000_t75" style="width:54.6pt;height:34.8pt" o:ole="">
            <v:imagedata r:id="rId9" o:title=""/>
          </v:shape>
          <o:OLEObject Type="Embed" ProgID="Equation.2" ShapeID="_x0000_i1026" DrawAspect="Content" ObjectID="_1804418073" r:id="rId10"/>
        </w:object>
      </w:r>
    </w:p>
    <w:p w14:paraId="57E82A8A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>gdzie:</w:t>
      </w:r>
    </w:p>
    <w:p w14:paraId="00B4D8F6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i/>
        </w:rPr>
        <w:t>U</w:t>
      </w:r>
      <w:r w:rsidRPr="00A830E9">
        <w:rPr>
          <w:rFonts w:ascii="Calibri" w:hAnsi="Calibri" w:cs="Calibri"/>
        </w:rPr>
        <w:t xml:space="preserve"> - wskaźnik różnoziarnistości,</w:t>
      </w:r>
    </w:p>
    <w:p w14:paraId="34F40D44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i/>
        </w:rPr>
        <w:t>d</w:t>
      </w:r>
      <w:r w:rsidRPr="00A830E9">
        <w:rPr>
          <w:rFonts w:ascii="Calibri" w:hAnsi="Calibri" w:cs="Calibri"/>
          <w:vertAlign w:val="subscript"/>
        </w:rPr>
        <w:t>60</w:t>
      </w:r>
      <w:r w:rsidRPr="00A830E9">
        <w:rPr>
          <w:rFonts w:ascii="Calibri" w:hAnsi="Calibri" w:cs="Calibri"/>
        </w:rPr>
        <w:t xml:space="preserve"> - wymiar sita, przez które przechodzi 60% kruszywa tworzącego warstwę odcinającą,</w:t>
      </w:r>
    </w:p>
    <w:p w14:paraId="11ADB084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i/>
        </w:rPr>
        <w:t>d</w:t>
      </w:r>
      <w:r w:rsidRPr="00A830E9">
        <w:rPr>
          <w:rFonts w:ascii="Calibri" w:hAnsi="Calibri" w:cs="Calibri"/>
          <w:vertAlign w:val="subscript"/>
        </w:rPr>
        <w:t>10</w:t>
      </w:r>
      <w:r w:rsidRPr="00A830E9">
        <w:rPr>
          <w:rFonts w:ascii="Calibri" w:hAnsi="Calibri" w:cs="Calibri"/>
        </w:rPr>
        <w:t xml:space="preserve"> - wymiar sita, przez które przechodzi 10% kruszywa tworzącego warstwę odcinającą.</w:t>
      </w:r>
    </w:p>
    <w:p w14:paraId="4F596985" w14:textId="77777777" w:rsidR="00073E71" w:rsidRPr="00A830E9" w:rsidRDefault="00073E71" w:rsidP="00827F3D">
      <w:pPr>
        <w:tabs>
          <w:tab w:val="left" w:pos="0"/>
        </w:tabs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</w:r>
      <w:r w:rsidRPr="00A830E9">
        <w:rPr>
          <w:rFonts w:ascii="Calibri" w:hAnsi="Calibri" w:cs="Calibri"/>
        </w:rPr>
        <w:tab/>
        <w:t>Piasek stosowany do wykonywania warstw odsączających i odcinających powinien spełniać wymagania normy PN-B-11113 [5] dla gatunku 1 i 2.</w:t>
      </w:r>
    </w:p>
    <w:p w14:paraId="3431DFEE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 xml:space="preserve">Żwir i mieszanka stosowane do wykonywania warstw odsączających i odcinających powinny spełniać wymagania normy PN-B-11111 [3], dla klasy I </w:t>
      </w:r>
      <w:proofErr w:type="spellStart"/>
      <w:r w:rsidRPr="00A830E9">
        <w:rPr>
          <w:rFonts w:ascii="Calibri" w:hAnsi="Calibri" w:cs="Calibri"/>
        </w:rPr>
        <w:t>i</w:t>
      </w:r>
      <w:proofErr w:type="spellEnd"/>
      <w:r w:rsidRPr="00A830E9">
        <w:rPr>
          <w:rFonts w:ascii="Calibri" w:hAnsi="Calibri" w:cs="Calibri"/>
        </w:rPr>
        <w:t xml:space="preserve"> II.</w:t>
      </w:r>
      <w:r w:rsidR="00081B50" w:rsidRPr="00A830E9">
        <w:rPr>
          <w:rFonts w:ascii="Calibri" w:hAnsi="Calibri" w:cs="Calibri"/>
        </w:rPr>
        <w:t xml:space="preserve"> </w:t>
      </w:r>
      <w:r w:rsidRPr="00A830E9">
        <w:rPr>
          <w:rFonts w:ascii="Calibri" w:hAnsi="Calibri" w:cs="Calibri"/>
        </w:rPr>
        <w:t>Miał kamienny do warstw odsączających i odcinających powinien spełniać wymagania normy PN-B-11112 [4].</w:t>
      </w:r>
    </w:p>
    <w:p w14:paraId="78689010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170" w:name="_Toc406913881"/>
      <w:bookmarkStart w:id="171" w:name="_Toc406914126"/>
      <w:bookmarkStart w:id="172" w:name="_Toc406914780"/>
      <w:bookmarkStart w:id="173" w:name="_Toc406914883"/>
      <w:bookmarkStart w:id="174" w:name="_Toc406915358"/>
      <w:bookmarkStart w:id="175" w:name="_Toc406984051"/>
      <w:bookmarkStart w:id="176" w:name="_Toc406984198"/>
      <w:bookmarkStart w:id="177" w:name="_Toc406984389"/>
      <w:bookmarkStart w:id="178" w:name="_Toc407069597"/>
      <w:bookmarkStart w:id="179" w:name="_Toc407081562"/>
      <w:bookmarkStart w:id="180" w:name="_Toc407081705"/>
      <w:bookmarkStart w:id="181" w:name="_Toc407083361"/>
      <w:bookmarkStart w:id="182" w:name="_Toc407084195"/>
      <w:bookmarkStart w:id="183" w:name="_Toc407085314"/>
      <w:bookmarkStart w:id="184" w:name="_Toc407085457"/>
      <w:bookmarkStart w:id="185" w:name="_Toc407085600"/>
      <w:bookmarkStart w:id="186" w:name="_Toc407086048"/>
      <w:r w:rsidRPr="00A830E9">
        <w:rPr>
          <w:rFonts w:ascii="Calibri" w:hAnsi="Calibri" w:cs="Calibri"/>
          <w:b/>
          <w:bCs/>
        </w:rPr>
        <w:t>2.4. Wymagania dla geowłókniny</w:t>
      </w:r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</w:p>
    <w:p w14:paraId="5E6BB783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Geowłókniny przewidziane do użycia jako warstwy odcinające i odsączające powinny posiadać aprobatę techniczną  wydaną przez uprawnioną jednostkę.</w:t>
      </w:r>
    </w:p>
    <w:p w14:paraId="656C069D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187" w:name="_Toc406913882"/>
      <w:bookmarkStart w:id="188" w:name="_Toc406914127"/>
      <w:bookmarkStart w:id="189" w:name="_Toc406914781"/>
      <w:bookmarkStart w:id="190" w:name="_Toc406914884"/>
      <w:bookmarkStart w:id="191" w:name="_Toc406915359"/>
      <w:bookmarkStart w:id="192" w:name="_Toc406984052"/>
      <w:bookmarkStart w:id="193" w:name="_Toc406984199"/>
      <w:bookmarkStart w:id="194" w:name="_Toc406984390"/>
      <w:bookmarkStart w:id="195" w:name="_Toc407069598"/>
      <w:bookmarkStart w:id="196" w:name="_Toc407081563"/>
      <w:bookmarkStart w:id="197" w:name="_Toc407081706"/>
      <w:bookmarkStart w:id="198" w:name="_Toc407083362"/>
      <w:bookmarkStart w:id="199" w:name="_Toc407084196"/>
      <w:bookmarkStart w:id="200" w:name="_Toc407085315"/>
      <w:bookmarkStart w:id="201" w:name="_Toc407085458"/>
      <w:bookmarkStart w:id="202" w:name="_Toc407085601"/>
      <w:bookmarkStart w:id="203" w:name="_Toc407086049"/>
      <w:r w:rsidRPr="00A830E9">
        <w:rPr>
          <w:rFonts w:ascii="Calibri" w:hAnsi="Calibri" w:cs="Calibri"/>
          <w:b/>
          <w:bCs/>
        </w:rPr>
        <w:t>2.5. Składowanie materiałów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</w:p>
    <w:p w14:paraId="7C468FB2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b/>
        </w:rPr>
        <w:t xml:space="preserve">2.5.1. </w:t>
      </w:r>
      <w:r w:rsidRPr="00A830E9">
        <w:rPr>
          <w:rFonts w:ascii="Calibri" w:hAnsi="Calibri" w:cs="Calibri"/>
        </w:rPr>
        <w:t>Składowanie kruszywa</w:t>
      </w:r>
    </w:p>
    <w:p w14:paraId="3A0397A0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lastRenderedPageBreak/>
        <w:tab/>
        <w:t>Jeżeli kruszywo przeznaczone do wykonania warstwy odsączającej lub odcinającej nie jest wbudowane bezpośrednio po dostarczeniu na budowę i zachodzi potrzeba jego okresowego składowania, to Wykonawca robót powinien zabezpieczyć kruszywo przed zanieczyszczeniem i zmieszaniem z innymi materiałami kamiennymi. Podłoże w miejscu składowania powinno być równe, utwardzone i dobrze odwodnione.</w:t>
      </w:r>
    </w:p>
    <w:p w14:paraId="36DCA79F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b/>
          <w:bCs/>
        </w:rPr>
        <w:t>2.5.2</w:t>
      </w:r>
      <w:r w:rsidRPr="00A830E9">
        <w:rPr>
          <w:rFonts w:ascii="Calibri" w:hAnsi="Calibri" w:cs="Calibri"/>
        </w:rPr>
        <w:t>. Składowanie geowłóknin</w:t>
      </w:r>
    </w:p>
    <w:p w14:paraId="4A175813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Geowłókniny przeznaczone na warstwy odsączającą lub odcinającą należy przechowywać w opakowaniach wg pkt 4.3 w pomieszczeniach czystych, suchych i wentylowanych.</w:t>
      </w:r>
    </w:p>
    <w:p w14:paraId="7C9ABE85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204" w:name="_Toc406913883"/>
      <w:bookmarkStart w:id="205" w:name="_Toc406914128"/>
      <w:bookmarkStart w:id="206" w:name="_Toc406914782"/>
      <w:bookmarkStart w:id="207" w:name="_Toc406914885"/>
      <w:bookmarkStart w:id="208" w:name="_Toc406915360"/>
      <w:bookmarkStart w:id="209" w:name="_Toc406984053"/>
      <w:bookmarkStart w:id="210" w:name="_Toc406984200"/>
      <w:bookmarkStart w:id="211" w:name="_Toc406984391"/>
      <w:bookmarkStart w:id="212" w:name="_Toc407069599"/>
      <w:bookmarkStart w:id="213" w:name="_Toc407081564"/>
      <w:bookmarkStart w:id="214" w:name="_Toc407081707"/>
      <w:bookmarkStart w:id="215" w:name="_Toc407083363"/>
      <w:bookmarkStart w:id="216" w:name="_Toc407084197"/>
      <w:bookmarkStart w:id="217" w:name="_Toc407085316"/>
      <w:bookmarkStart w:id="218" w:name="_Toc407085459"/>
      <w:bookmarkStart w:id="219" w:name="_Toc407085602"/>
      <w:bookmarkStart w:id="220" w:name="_Toc407086050"/>
      <w:r w:rsidRPr="00A830E9">
        <w:rPr>
          <w:rFonts w:ascii="Calibri" w:hAnsi="Calibri" w:cs="Calibri"/>
          <w:b/>
          <w:bCs/>
        </w:rPr>
        <w:t xml:space="preserve">3. </w:t>
      </w:r>
      <w:r w:rsidR="00081B50" w:rsidRPr="00A830E9">
        <w:rPr>
          <w:rFonts w:ascii="Calibri" w:hAnsi="Calibri" w:cs="Calibri"/>
          <w:b/>
          <w:bCs/>
        </w:rPr>
        <w:t>S</w:t>
      </w:r>
      <w:r w:rsidRPr="00A830E9">
        <w:rPr>
          <w:rFonts w:ascii="Calibri" w:hAnsi="Calibri" w:cs="Calibri"/>
          <w:b/>
          <w:bCs/>
        </w:rPr>
        <w:t>przęt</w:t>
      </w:r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</w:p>
    <w:p w14:paraId="578BEA8D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221" w:name="_Toc406913884"/>
      <w:bookmarkStart w:id="222" w:name="_Toc406914129"/>
      <w:bookmarkStart w:id="223" w:name="_Toc406914783"/>
      <w:bookmarkStart w:id="224" w:name="_Toc406914886"/>
      <w:bookmarkStart w:id="225" w:name="_Toc406915361"/>
      <w:bookmarkStart w:id="226" w:name="_Toc406984054"/>
      <w:bookmarkStart w:id="227" w:name="_Toc406984201"/>
      <w:bookmarkStart w:id="228" w:name="_Toc406984392"/>
      <w:bookmarkStart w:id="229" w:name="_Toc407069600"/>
      <w:bookmarkStart w:id="230" w:name="_Toc407081565"/>
      <w:bookmarkStart w:id="231" w:name="_Toc407081708"/>
      <w:bookmarkStart w:id="232" w:name="_Toc407083364"/>
      <w:bookmarkStart w:id="233" w:name="_Toc407084198"/>
      <w:bookmarkStart w:id="234" w:name="_Toc407085317"/>
      <w:bookmarkStart w:id="235" w:name="_Toc407085460"/>
      <w:bookmarkStart w:id="236" w:name="_Toc407085603"/>
      <w:bookmarkStart w:id="237" w:name="_Toc407086051"/>
      <w:r w:rsidRPr="00A830E9">
        <w:rPr>
          <w:rFonts w:ascii="Calibri" w:hAnsi="Calibri" w:cs="Calibri"/>
          <w:b/>
          <w:bCs/>
        </w:rPr>
        <w:t>3.1. Ogólne wymagania dotyczące sprzętu</w:t>
      </w:r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</w:p>
    <w:p w14:paraId="2DB21557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Ogólne wymagania dotyczące sprzętu podano w OST D-M-00.00.00 „Wymagania ogólne” pkt 3.</w:t>
      </w:r>
    </w:p>
    <w:p w14:paraId="23E97696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238" w:name="_Toc406913885"/>
      <w:bookmarkStart w:id="239" w:name="_Toc406914130"/>
      <w:bookmarkStart w:id="240" w:name="_Toc406914784"/>
      <w:bookmarkStart w:id="241" w:name="_Toc406914887"/>
      <w:bookmarkStart w:id="242" w:name="_Toc406915362"/>
      <w:bookmarkStart w:id="243" w:name="_Toc406984055"/>
      <w:bookmarkStart w:id="244" w:name="_Toc406984202"/>
      <w:bookmarkStart w:id="245" w:name="_Toc406984393"/>
      <w:bookmarkStart w:id="246" w:name="_Toc407069601"/>
      <w:bookmarkStart w:id="247" w:name="_Toc407081566"/>
      <w:bookmarkStart w:id="248" w:name="_Toc407081709"/>
      <w:bookmarkStart w:id="249" w:name="_Toc407083365"/>
      <w:bookmarkStart w:id="250" w:name="_Toc407084199"/>
      <w:bookmarkStart w:id="251" w:name="_Toc407085318"/>
      <w:bookmarkStart w:id="252" w:name="_Toc407085461"/>
      <w:bookmarkStart w:id="253" w:name="_Toc407085604"/>
      <w:bookmarkStart w:id="254" w:name="_Toc407086052"/>
      <w:r w:rsidRPr="00A830E9">
        <w:rPr>
          <w:rFonts w:ascii="Calibri" w:hAnsi="Calibri" w:cs="Calibri"/>
          <w:b/>
          <w:bCs/>
        </w:rPr>
        <w:t>3.2. Sprzęt do wykonania robót</w:t>
      </w:r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</w:p>
    <w:p w14:paraId="4E771303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Wykonawca przystępujący do wykonania warstwy odcinającej lub odsączającej powinien wykazać się możliwością korzystania z następującego sprzętu:</w:t>
      </w:r>
    </w:p>
    <w:p w14:paraId="49212E9C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równiarek,</w:t>
      </w:r>
    </w:p>
    <w:p w14:paraId="1905EC51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walców statycznych,</w:t>
      </w:r>
    </w:p>
    <w:p w14:paraId="1347AA82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płyt wibracyjnych lub ubijaków mechanicznych.</w:t>
      </w:r>
    </w:p>
    <w:p w14:paraId="3F64F0DA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255" w:name="_Toc406913886"/>
      <w:bookmarkStart w:id="256" w:name="_Toc406914131"/>
      <w:bookmarkStart w:id="257" w:name="_Toc406914785"/>
      <w:bookmarkStart w:id="258" w:name="_Toc406914888"/>
      <w:bookmarkStart w:id="259" w:name="_Toc406915363"/>
      <w:bookmarkStart w:id="260" w:name="_Toc406984056"/>
      <w:bookmarkStart w:id="261" w:name="_Toc406984203"/>
      <w:bookmarkStart w:id="262" w:name="_Toc406984394"/>
      <w:bookmarkStart w:id="263" w:name="_Toc407069602"/>
      <w:bookmarkStart w:id="264" w:name="_Toc407081567"/>
      <w:bookmarkStart w:id="265" w:name="_Toc407081710"/>
      <w:bookmarkStart w:id="266" w:name="_Toc407083366"/>
      <w:bookmarkStart w:id="267" w:name="_Toc407084200"/>
      <w:bookmarkStart w:id="268" w:name="_Toc407085319"/>
      <w:bookmarkStart w:id="269" w:name="_Toc407085462"/>
      <w:bookmarkStart w:id="270" w:name="_Toc407085605"/>
      <w:bookmarkStart w:id="271" w:name="_Toc407086053"/>
      <w:r w:rsidRPr="00A830E9">
        <w:rPr>
          <w:rFonts w:ascii="Calibri" w:hAnsi="Calibri" w:cs="Calibri"/>
          <w:b/>
          <w:bCs/>
        </w:rPr>
        <w:t xml:space="preserve">4. </w:t>
      </w:r>
      <w:r w:rsidR="00081B50" w:rsidRPr="00A830E9">
        <w:rPr>
          <w:rFonts w:ascii="Calibri" w:hAnsi="Calibri" w:cs="Calibri"/>
          <w:b/>
          <w:bCs/>
        </w:rPr>
        <w:t>T</w:t>
      </w:r>
      <w:r w:rsidRPr="00A830E9">
        <w:rPr>
          <w:rFonts w:ascii="Calibri" w:hAnsi="Calibri" w:cs="Calibri"/>
          <w:b/>
          <w:bCs/>
        </w:rPr>
        <w:t>ransport</w:t>
      </w:r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</w:p>
    <w:p w14:paraId="1E78BACE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272" w:name="_Toc406913887"/>
      <w:bookmarkStart w:id="273" w:name="_Toc406914132"/>
      <w:bookmarkStart w:id="274" w:name="_Toc406914786"/>
      <w:bookmarkStart w:id="275" w:name="_Toc406914889"/>
      <w:bookmarkStart w:id="276" w:name="_Toc406915364"/>
      <w:bookmarkStart w:id="277" w:name="_Toc406984057"/>
      <w:bookmarkStart w:id="278" w:name="_Toc406984204"/>
      <w:bookmarkStart w:id="279" w:name="_Toc406984395"/>
      <w:bookmarkStart w:id="280" w:name="_Toc407069603"/>
      <w:bookmarkStart w:id="281" w:name="_Toc407081568"/>
      <w:bookmarkStart w:id="282" w:name="_Toc407081711"/>
      <w:bookmarkStart w:id="283" w:name="_Toc407083367"/>
      <w:bookmarkStart w:id="284" w:name="_Toc407084201"/>
      <w:bookmarkStart w:id="285" w:name="_Toc407085320"/>
      <w:bookmarkStart w:id="286" w:name="_Toc407085463"/>
      <w:bookmarkStart w:id="287" w:name="_Toc407085606"/>
      <w:bookmarkStart w:id="288" w:name="_Toc407086054"/>
      <w:r w:rsidRPr="00A830E9">
        <w:rPr>
          <w:rFonts w:ascii="Calibri" w:hAnsi="Calibri" w:cs="Calibri"/>
          <w:b/>
          <w:bCs/>
        </w:rPr>
        <w:t>4.1. Ogólne wymagania dotyczące transportu</w:t>
      </w:r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</w:p>
    <w:p w14:paraId="18A341FC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Ogólne wymagania dotyczące transportu podano w OST D-M-00.00.00 „Wymagania ogólne” pkt 4.</w:t>
      </w:r>
    </w:p>
    <w:p w14:paraId="4A272F85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289" w:name="_Toc406913888"/>
      <w:bookmarkStart w:id="290" w:name="_Toc406914133"/>
      <w:bookmarkStart w:id="291" w:name="_Toc406914787"/>
      <w:bookmarkStart w:id="292" w:name="_Toc406914890"/>
      <w:bookmarkStart w:id="293" w:name="_Toc406915365"/>
      <w:bookmarkStart w:id="294" w:name="_Toc406984058"/>
      <w:bookmarkStart w:id="295" w:name="_Toc406984205"/>
      <w:bookmarkStart w:id="296" w:name="_Toc406984396"/>
      <w:bookmarkStart w:id="297" w:name="_Toc407069604"/>
      <w:bookmarkStart w:id="298" w:name="_Toc407081569"/>
      <w:bookmarkStart w:id="299" w:name="_Toc407081712"/>
      <w:bookmarkStart w:id="300" w:name="_Toc407083368"/>
      <w:bookmarkStart w:id="301" w:name="_Toc407084202"/>
      <w:bookmarkStart w:id="302" w:name="_Toc407085321"/>
      <w:bookmarkStart w:id="303" w:name="_Toc407085464"/>
      <w:bookmarkStart w:id="304" w:name="_Toc407085607"/>
      <w:bookmarkStart w:id="305" w:name="_Toc407086055"/>
      <w:r w:rsidRPr="00A830E9">
        <w:rPr>
          <w:rFonts w:ascii="Calibri" w:hAnsi="Calibri" w:cs="Calibri"/>
          <w:b/>
          <w:bCs/>
        </w:rPr>
        <w:t>4.2. Transport kruszywa</w:t>
      </w:r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</w:p>
    <w:p w14:paraId="5C56EC63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Kruszywa można przewozić dowolnymi środkami transportu w warunkach zabezpieczających je przed zanieczyszczeniem, zmieszaniem z innymi materiałami, nadmiernym wysuszeniem i zawilgoceniem.</w:t>
      </w:r>
    </w:p>
    <w:p w14:paraId="0DB78176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306" w:name="_Toc406913889"/>
      <w:bookmarkStart w:id="307" w:name="_Toc406914134"/>
      <w:bookmarkStart w:id="308" w:name="_Toc406914788"/>
      <w:bookmarkStart w:id="309" w:name="_Toc406914891"/>
      <w:bookmarkStart w:id="310" w:name="_Toc406915366"/>
      <w:bookmarkStart w:id="311" w:name="_Toc406984059"/>
      <w:bookmarkStart w:id="312" w:name="_Toc406984206"/>
      <w:bookmarkStart w:id="313" w:name="_Toc406984397"/>
      <w:bookmarkStart w:id="314" w:name="_Toc407069605"/>
      <w:bookmarkStart w:id="315" w:name="_Toc407081570"/>
      <w:bookmarkStart w:id="316" w:name="_Toc407081713"/>
      <w:bookmarkStart w:id="317" w:name="_Toc407083369"/>
      <w:bookmarkStart w:id="318" w:name="_Toc407084203"/>
      <w:bookmarkStart w:id="319" w:name="_Toc407085322"/>
      <w:bookmarkStart w:id="320" w:name="_Toc407085465"/>
      <w:bookmarkStart w:id="321" w:name="_Toc407085608"/>
      <w:bookmarkStart w:id="322" w:name="_Toc407086056"/>
      <w:r w:rsidRPr="00A830E9">
        <w:rPr>
          <w:rFonts w:ascii="Calibri" w:hAnsi="Calibri" w:cs="Calibri"/>
          <w:b/>
          <w:bCs/>
        </w:rPr>
        <w:t>4.3. Transport geowłóknin</w:t>
      </w:r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</w:p>
    <w:p w14:paraId="53EE4A22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Geowłókniny mogą być transportowane dowolnymi środkami transportu pod warunkiem:</w:t>
      </w:r>
    </w:p>
    <w:p w14:paraId="779ED204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opakowania bel (rolek) folią, brezentem lub tkaniną techniczną,</w:t>
      </w:r>
    </w:p>
    <w:p w14:paraId="22EBD13A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zabezpieczenia opakowanych bel przez przemieszczaniem się w czasie przewozu,</w:t>
      </w:r>
    </w:p>
    <w:p w14:paraId="4BC65597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ochrony geowłóknin przez zawilgoceniem i nadmiernym ogrzaniem,</w:t>
      </w:r>
    </w:p>
    <w:p w14:paraId="12CE728D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niedopuszczenie do kontaktu bel z chemikaliami, tłuszczami oraz przedmiotami mogącymi przebić lub rozciąć geowłókniny.</w:t>
      </w:r>
    </w:p>
    <w:p w14:paraId="150D45E5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Każda bela powinna być oznakowana w sposób umożliwiający jednoznaczne stwierdzenie, że jest to materiał do wykonania warstwy odsączającej lub odcinającej.</w:t>
      </w:r>
    </w:p>
    <w:p w14:paraId="393F1E49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323" w:name="_Toc406913890"/>
      <w:bookmarkStart w:id="324" w:name="_Toc406914135"/>
      <w:bookmarkStart w:id="325" w:name="_Toc406914789"/>
      <w:bookmarkStart w:id="326" w:name="_Toc406914892"/>
      <w:bookmarkStart w:id="327" w:name="_Toc406915367"/>
      <w:bookmarkStart w:id="328" w:name="_Toc406984060"/>
      <w:bookmarkStart w:id="329" w:name="_Toc406984207"/>
      <w:bookmarkStart w:id="330" w:name="_Toc406984398"/>
      <w:bookmarkStart w:id="331" w:name="_Toc407069606"/>
      <w:bookmarkStart w:id="332" w:name="_Toc407081571"/>
      <w:bookmarkStart w:id="333" w:name="_Toc407081714"/>
      <w:bookmarkStart w:id="334" w:name="_Toc407083370"/>
      <w:bookmarkStart w:id="335" w:name="_Toc407084204"/>
      <w:bookmarkStart w:id="336" w:name="_Toc407085323"/>
      <w:bookmarkStart w:id="337" w:name="_Toc407085466"/>
      <w:bookmarkStart w:id="338" w:name="_Toc407085609"/>
      <w:bookmarkStart w:id="339" w:name="_Toc407086057"/>
      <w:r w:rsidRPr="00A830E9">
        <w:rPr>
          <w:rFonts w:ascii="Calibri" w:hAnsi="Calibri" w:cs="Calibri"/>
          <w:b/>
          <w:bCs/>
        </w:rPr>
        <w:t xml:space="preserve">5. </w:t>
      </w:r>
      <w:r w:rsidR="00081B50" w:rsidRPr="00A830E9">
        <w:rPr>
          <w:rFonts w:ascii="Calibri" w:hAnsi="Calibri" w:cs="Calibri"/>
          <w:b/>
          <w:bCs/>
        </w:rPr>
        <w:t>W</w:t>
      </w:r>
      <w:r w:rsidRPr="00A830E9">
        <w:rPr>
          <w:rFonts w:ascii="Calibri" w:hAnsi="Calibri" w:cs="Calibri"/>
          <w:b/>
          <w:bCs/>
        </w:rPr>
        <w:t>ykonanie robót</w:t>
      </w:r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</w:p>
    <w:p w14:paraId="4579A3EC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340" w:name="_Toc406913891"/>
      <w:bookmarkStart w:id="341" w:name="_Toc406914136"/>
      <w:bookmarkStart w:id="342" w:name="_Toc406914790"/>
      <w:bookmarkStart w:id="343" w:name="_Toc406914893"/>
      <w:bookmarkStart w:id="344" w:name="_Toc406915368"/>
      <w:bookmarkStart w:id="345" w:name="_Toc406984061"/>
      <w:bookmarkStart w:id="346" w:name="_Toc406984208"/>
      <w:bookmarkStart w:id="347" w:name="_Toc406984399"/>
      <w:bookmarkStart w:id="348" w:name="_Toc407069607"/>
      <w:bookmarkStart w:id="349" w:name="_Toc407081572"/>
      <w:bookmarkStart w:id="350" w:name="_Toc407081715"/>
      <w:bookmarkStart w:id="351" w:name="_Toc407083371"/>
      <w:bookmarkStart w:id="352" w:name="_Toc407084205"/>
      <w:bookmarkStart w:id="353" w:name="_Toc407085324"/>
      <w:bookmarkStart w:id="354" w:name="_Toc407085467"/>
      <w:bookmarkStart w:id="355" w:name="_Toc407085610"/>
      <w:bookmarkStart w:id="356" w:name="_Toc407086058"/>
      <w:r w:rsidRPr="00A830E9">
        <w:rPr>
          <w:rFonts w:ascii="Calibri" w:hAnsi="Calibri" w:cs="Calibri"/>
          <w:b/>
          <w:bCs/>
        </w:rPr>
        <w:t>5.1. Ogólne zasady wykonania robót</w:t>
      </w:r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</w:p>
    <w:p w14:paraId="6692608F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Ogólne zasady wykonania robót podano w OST D-M-00.00.00 „Wymagania ogólne” pkt 5.</w:t>
      </w:r>
    </w:p>
    <w:p w14:paraId="188F4743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357" w:name="_Toc406913892"/>
      <w:bookmarkStart w:id="358" w:name="_Toc406914137"/>
      <w:bookmarkStart w:id="359" w:name="_Toc406914791"/>
      <w:bookmarkStart w:id="360" w:name="_Toc406914894"/>
      <w:bookmarkStart w:id="361" w:name="_Toc406915369"/>
      <w:bookmarkStart w:id="362" w:name="_Toc406984062"/>
      <w:bookmarkStart w:id="363" w:name="_Toc406984209"/>
      <w:bookmarkStart w:id="364" w:name="_Toc406984400"/>
      <w:bookmarkStart w:id="365" w:name="_Toc407069608"/>
      <w:bookmarkStart w:id="366" w:name="_Toc407081573"/>
      <w:bookmarkStart w:id="367" w:name="_Toc407081716"/>
      <w:bookmarkStart w:id="368" w:name="_Toc407083372"/>
      <w:bookmarkStart w:id="369" w:name="_Toc407084206"/>
      <w:bookmarkStart w:id="370" w:name="_Toc407085325"/>
      <w:bookmarkStart w:id="371" w:name="_Toc407085468"/>
      <w:bookmarkStart w:id="372" w:name="_Toc407085611"/>
      <w:bookmarkStart w:id="373" w:name="_Toc407086059"/>
      <w:r w:rsidRPr="00A830E9">
        <w:rPr>
          <w:rFonts w:ascii="Calibri" w:hAnsi="Calibri" w:cs="Calibri"/>
          <w:b/>
          <w:bCs/>
        </w:rPr>
        <w:t>5.2. Przygotowanie podłoża</w:t>
      </w:r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</w:p>
    <w:p w14:paraId="4BAD8BBD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Podłoże gruntowe powinno spełniać wymagania określone w OST D-02.00.00 „Roboty ziemne” oraz D-04.01.01 „Koryto wraz z profilowaniem i zagęszczaniem podłoża”.</w:t>
      </w:r>
    </w:p>
    <w:p w14:paraId="5BD6A68D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Warstwy odcinająca i odsączająca powinny być wytyczone w sposób umożliwiający wykonanie ich zgodnie z dokumentacją projektową, z tolerancjami określonymi w niniejszych specyfikacjach.</w:t>
      </w:r>
    </w:p>
    <w:p w14:paraId="54C067B5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Paliki lub szpilki powinny być ustawione w osi drogi i w rzędach równoległych do osi drogi, lub w inny sposób zaakceptowany przez Inżyniera.</w:t>
      </w:r>
    </w:p>
    <w:p w14:paraId="74576796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Rozmieszczenie palików lub szpilek powinno umożliwiać naciągnięcie sznurków lub linek do wytyczenia robót w odstępach nie większych niż co 10 m.</w:t>
      </w:r>
    </w:p>
    <w:p w14:paraId="582DE7B7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374" w:name="_Toc406913893"/>
      <w:bookmarkStart w:id="375" w:name="_Toc406914138"/>
      <w:bookmarkStart w:id="376" w:name="_Toc406914792"/>
      <w:bookmarkStart w:id="377" w:name="_Toc406914895"/>
      <w:bookmarkStart w:id="378" w:name="_Toc406915370"/>
      <w:bookmarkStart w:id="379" w:name="_Toc406984063"/>
      <w:bookmarkStart w:id="380" w:name="_Toc406984210"/>
      <w:bookmarkStart w:id="381" w:name="_Toc406984401"/>
      <w:bookmarkStart w:id="382" w:name="_Toc407069609"/>
      <w:bookmarkStart w:id="383" w:name="_Toc407081574"/>
      <w:bookmarkStart w:id="384" w:name="_Toc407081717"/>
      <w:bookmarkStart w:id="385" w:name="_Toc407083373"/>
      <w:bookmarkStart w:id="386" w:name="_Toc407084207"/>
      <w:bookmarkStart w:id="387" w:name="_Toc407085326"/>
      <w:bookmarkStart w:id="388" w:name="_Toc407085469"/>
      <w:bookmarkStart w:id="389" w:name="_Toc407085612"/>
      <w:bookmarkStart w:id="390" w:name="_Toc407086060"/>
      <w:r w:rsidRPr="00A830E9">
        <w:rPr>
          <w:rFonts w:ascii="Calibri" w:hAnsi="Calibri" w:cs="Calibri"/>
          <w:b/>
          <w:bCs/>
        </w:rPr>
        <w:t>5.3. Wbudowanie i zagęszczanie kruszywa</w:t>
      </w:r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</w:p>
    <w:p w14:paraId="741F4BFE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Kruszywo powinno być rozkładane w warstwie o jednakowej grubości, przy użyciu równiarki, z zachowaniem wymaganych spadków i rzędnych wysokościowych. Grubość rozłożonej warstwy luźnego kruszywa powinna być taka, aby po jej zagęszczeniu osiągnięto grubość projektowaną.</w:t>
      </w:r>
    </w:p>
    <w:p w14:paraId="6FB33A6B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Jeżeli dokumentacja projektowa lub SST przewiduje wykonanie warstwy odsączającej lub odcinającej o grubości powyżej 20 cm, to wbudowanie kruszywa należy wykonać dwuwarstwowo. Rozpoczęcie układania każdej następnej warstwy może nastąpić po odbiorze przez Inżyniera warstwy poprzedniej.</w:t>
      </w:r>
    </w:p>
    <w:p w14:paraId="49D5117B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W miejscach, w których widoczna jest segregacja kruszywa należy przed zagęszczeniem wymienić kruszywo na materiał o odpowiednich właściwościach.</w:t>
      </w:r>
    </w:p>
    <w:p w14:paraId="0E0C8A35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Natychmiast po końcowym wyprofilowaniu warstwy odsączającej lub odcinającej należy przystąpić do jej zagęszczania.</w:t>
      </w:r>
    </w:p>
    <w:p w14:paraId="121EC3A9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Zagęszczanie warstw o przekroju daszkowym należy rozpoczynać od krawędzi i stopniowo przesuwać pasami podłużnymi częściowo nakładającymi się, w kierunku jej osi. Zagęszczanie nawierzchni o jednostronnym spadku należy rozpoczynać od dolnej krawędzi i przesuwać pasami podłużnymi częściowo nakładającymi się, w kierunku jej górnej krawędzi.</w:t>
      </w:r>
    </w:p>
    <w:p w14:paraId="4144EAE8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lastRenderedPageBreak/>
        <w:tab/>
        <w:t>Nierówności lub zagłębienia powstałe w czasie zagęszczania powinny być wyrównywane na bieżąco przez spulchnienie warstwy kruszywa i dodanie lub usunięcie materiału, aż do otrzymania równej powierzchni.</w:t>
      </w:r>
    </w:p>
    <w:p w14:paraId="0BF4AF2F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W miejscach niedostępnych dla walców warstwa odcinająca i odsączająca powinna być zagęszczana płytami wibracyjnymi lub ubijakami mechanicznymi.</w:t>
      </w:r>
    </w:p>
    <w:p w14:paraId="44F15CF0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 xml:space="preserve">Zagęszczanie należy kontynuować do osiągnięcia wskaźnika zagęszczenia nie mniejszego od 1,0 według normalnej próby </w:t>
      </w:r>
      <w:proofErr w:type="spellStart"/>
      <w:r w:rsidRPr="00A830E9">
        <w:rPr>
          <w:rFonts w:ascii="Calibri" w:hAnsi="Calibri" w:cs="Calibri"/>
        </w:rPr>
        <w:t>Proctora</w:t>
      </w:r>
      <w:proofErr w:type="spellEnd"/>
      <w:r w:rsidRPr="00A830E9">
        <w:rPr>
          <w:rFonts w:ascii="Calibri" w:hAnsi="Calibri" w:cs="Calibri"/>
        </w:rPr>
        <w:t>, przeprowadzonej według PN-B-04481 [1]. Wskaźnik zagęszczenia należy określać zgodnie z BN-77/8931-12 [8].</w:t>
      </w:r>
    </w:p>
    <w:p w14:paraId="7A874C3C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 xml:space="preserve">W przypadku, gdy gruboziarnisty materiał wbudowany w warstwę odsączającą lub odcinającą, uniemożliwia przeprowadzenie badania zagęszczenia według normalnej próby </w:t>
      </w:r>
      <w:proofErr w:type="spellStart"/>
      <w:r w:rsidRPr="00A830E9">
        <w:rPr>
          <w:rFonts w:ascii="Calibri" w:hAnsi="Calibri" w:cs="Calibri"/>
        </w:rPr>
        <w:t>Proctora</w:t>
      </w:r>
      <w:proofErr w:type="spellEnd"/>
      <w:r w:rsidRPr="00A830E9">
        <w:rPr>
          <w:rFonts w:ascii="Calibri" w:hAnsi="Calibri" w:cs="Calibri"/>
        </w:rPr>
        <w:t>, kontrolę zagęszczenia należy oprzeć na metodzie obciążeń płytowych. Należy określić pierwotny i wtórny moduł odkształcenia warstwy według BN-64/8931-02 [6]. Stosunek wtórnego i pierwotnego modułu odkształcenia nie powinien przekraczać 2,2.</w:t>
      </w:r>
    </w:p>
    <w:p w14:paraId="33848CF6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Wilgotność kruszywa podczas zagęszczania powinna być równa wilgotności optymalnej z tolerancją od -20% do +10% jej wartości. W przypadku, gdy wilgotność kruszywa jest wyższa od wilgotności optymalnej, kruszywo należy osuszyć przez mieszanie i napowietrzanie. W przypadku, gdy wilgotność kruszywa jest niższa od wilgotności optymalnej, kruszywo należy zwilżyć określoną ilością wody i równomiernie wymieszać.</w:t>
      </w:r>
    </w:p>
    <w:p w14:paraId="7F209A3F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391" w:name="_Toc406913894"/>
      <w:bookmarkStart w:id="392" w:name="_Toc406914139"/>
      <w:bookmarkStart w:id="393" w:name="_Toc406914793"/>
      <w:bookmarkStart w:id="394" w:name="_Toc406914896"/>
      <w:bookmarkStart w:id="395" w:name="_Toc406915371"/>
      <w:bookmarkStart w:id="396" w:name="_Toc406984064"/>
      <w:bookmarkStart w:id="397" w:name="_Toc406984211"/>
      <w:bookmarkStart w:id="398" w:name="_Toc406984402"/>
      <w:bookmarkStart w:id="399" w:name="_Toc407069610"/>
      <w:bookmarkStart w:id="400" w:name="_Toc407081575"/>
      <w:bookmarkStart w:id="401" w:name="_Toc407081718"/>
      <w:bookmarkStart w:id="402" w:name="_Toc407083374"/>
      <w:bookmarkStart w:id="403" w:name="_Toc407084208"/>
      <w:bookmarkStart w:id="404" w:name="_Toc407085327"/>
      <w:bookmarkStart w:id="405" w:name="_Toc407085470"/>
      <w:bookmarkStart w:id="406" w:name="_Toc407085613"/>
      <w:bookmarkStart w:id="407" w:name="_Toc407086061"/>
      <w:r w:rsidRPr="00A830E9">
        <w:rPr>
          <w:rFonts w:ascii="Calibri" w:hAnsi="Calibri" w:cs="Calibri"/>
          <w:b/>
          <w:bCs/>
        </w:rPr>
        <w:t>5.4. Odcinek próbny</w:t>
      </w:r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</w:p>
    <w:p w14:paraId="20CA5DC5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Jeżeli w SST przewidziano konieczność wykonania odcinka próbnego, to co najmniej na 3 dni przed rozpoczęciem robót Wykonawca powinien wykonać odcinek próbny w celu:</w:t>
      </w:r>
    </w:p>
    <w:p w14:paraId="0E7C2436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stwierdzenia, czy sprzęt budowlany do rozkładania i zagęszczania jest właściwy,</w:t>
      </w:r>
    </w:p>
    <w:p w14:paraId="4B85F6B2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określenia grubości warstwy materiału w stanie luźnym koniecznej do uzyskania wymaganej grubości po zagęszczeniu,</w:t>
      </w:r>
    </w:p>
    <w:p w14:paraId="6D55E4A7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ustalenia liczby przejść sprzętu zagęszczającego, potrzebnej do uzyskania wymaganego wskaźnika zagęszczenia.</w:t>
      </w:r>
    </w:p>
    <w:p w14:paraId="1331BA48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Na odcinku próbnym Wykonawca powinien użyć takich materiałów oraz sprzętu, jakie będą stosowane do wykonywania warstwy odcinającej i odsączającej na budowie.</w:t>
      </w:r>
    </w:p>
    <w:p w14:paraId="75C406F0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Odcinek próbny powinien być zlokalizowany w miejscu wskazanym przez Inżyniera.</w:t>
      </w:r>
    </w:p>
    <w:p w14:paraId="7C4B1A86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408" w:name="_Toc406913895"/>
      <w:bookmarkStart w:id="409" w:name="_Toc406914140"/>
      <w:bookmarkStart w:id="410" w:name="_Toc406914794"/>
      <w:bookmarkStart w:id="411" w:name="_Toc406914897"/>
      <w:bookmarkStart w:id="412" w:name="_Toc406915372"/>
      <w:bookmarkStart w:id="413" w:name="_Toc406984065"/>
      <w:bookmarkStart w:id="414" w:name="_Toc406984212"/>
      <w:bookmarkStart w:id="415" w:name="_Toc406984403"/>
      <w:bookmarkStart w:id="416" w:name="_Toc407069611"/>
      <w:bookmarkStart w:id="417" w:name="_Toc407081576"/>
      <w:bookmarkStart w:id="418" w:name="_Toc407081719"/>
      <w:bookmarkStart w:id="419" w:name="_Toc407083375"/>
      <w:bookmarkStart w:id="420" w:name="_Toc407084209"/>
      <w:bookmarkStart w:id="421" w:name="_Toc407085328"/>
      <w:bookmarkStart w:id="422" w:name="_Toc407085471"/>
      <w:bookmarkStart w:id="423" w:name="_Toc407085614"/>
      <w:bookmarkStart w:id="424" w:name="_Toc407086062"/>
      <w:r w:rsidRPr="00A830E9">
        <w:rPr>
          <w:rFonts w:ascii="Calibri" w:hAnsi="Calibri" w:cs="Calibri"/>
          <w:b/>
          <w:bCs/>
        </w:rPr>
        <w:t>5.5. Rozkładanie geowłóknin</w:t>
      </w:r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</w:p>
    <w:p w14:paraId="684571E6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Warstwę geowłókniny należy rozkładać na wyprofilowanej powierzchni podłoża, pozbawionej ostrych elementów, które mogą spowodować uszkodzenie warstwy (na przykład kamienie, korzenie drzew i krzewów). W czasie rozkładania warstwy z geowłókniny należy spełnić wymagania określone w SST lub producenta dotyczące szerokości na jaką powinny zachodzić na siebie sąsiednie pasma geowłókniny lub zasad ich łączenia oraz ewentualnego przymocowania warstwy do podłoża gruntowego.</w:t>
      </w:r>
    </w:p>
    <w:p w14:paraId="4B2F820F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425" w:name="_Toc406913896"/>
      <w:bookmarkStart w:id="426" w:name="_Toc406914141"/>
      <w:bookmarkStart w:id="427" w:name="_Toc406914795"/>
      <w:bookmarkStart w:id="428" w:name="_Toc406914898"/>
      <w:bookmarkStart w:id="429" w:name="_Toc406915373"/>
      <w:bookmarkStart w:id="430" w:name="_Toc406984066"/>
      <w:bookmarkStart w:id="431" w:name="_Toc406984213"/>
      <w:bookmarkStart w:id="432" w:name="_Toc406984404"/>
      <w:bookmarkStart w:id="433" w:name="_Toc407069612"/>
      <w:bookmarkStart w:id="434" w:name="_Toc407081577"/>
      <w:bookmarkStart w:id="435" w:name="_Toc407081720"/>
      <w:bookmarkStart w:id="436" w:name="_Toc407083376"/>
      <w:bookmarkStart w:id="437" w:name="_Toc407084210"/>
      <w:bookmarkStart w:id="438" w:name="_Toc407085329"/>
      <w:bookmarkStart w:id="439" w:name="_Toc407085472"/>
      <w:bookmarkStart w:id="440" w:name="_Toc407085615"/>
      <w:bookmarkStart w:id="441" w:name="_Toc407086063"/>
      <w:r w:rsidRPr="00A830E9">
        <w:rPr>
          <w:rFonts w:ascii="Calibri" w:hAnsi="Calibri" w:cs="Calibri"/>
          <w:b/>
          <w:bCs/>
        </w:rPr>
        <w:t>5.6. Zabezpieczenie powierzchni geowłóknin</w:t>
      </w:r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</w:p>
    <w:p w14:paraId="789D5CCD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Po powierzchni warstwy odcinającej lub odsączającej, wykonanej z geowłóknin nie może odbywać się ruch jakichkolwiek pojazdów.</w:t>
      </w:r>
    </w:p>
    <w:p w14:paraId="47FE1F21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Leżącą wyżej warstwę nawierzchni należy wykonywać rozkładając materiał „od czoła”, to znaczy tak, że pojazdy dowożące materiał i wykonujące czynności technologiczne poruszają się po już ułożonym materiale.</w:t>
      </w:r>
    </w:p>
    <w:p w14:paraId="7AFD1C29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442" w:name="_Toc406913897"/>
      <w:bookmarkStart w:id="443" w:name="_Toc406914142"/>
      <w:bookmarkStart w:id="444" w:name="_Toc406914796"/>
      <w:bookmarkStart w:id="445" w:name="_Toc406914899"/>
      <w:bookmarkStart w:id="446" w:name="_Toc406915374"/>
      <w:bookmarkStart w:id="447" w:name="_Toc406984067"/>
      <w:bookmarkStart w:id="448" w:name="_Toc406984214"/>
      <w:bookmarkStart w:id="449" w:name="_Toc406984405"/>
      <w:bookmarkStart w:id="450" w:name="_Toc407069613"/>
      <w:bookmarkStart w:id="451" w:name="_Toc407081578"/>
      <w:bookmarkStart w:id="452" w:name="_Toc407081721"/>
      <w:bookmarkStart w:id="453" w:name="_Toc407083377"/>
      <w:bookmarkStart w:id="454" w:name="_Toc407084211"/>
      <w:bookmarkStart w:id="455" w:name="_Toc407085330"/>
      <w:bookmarkStart w:id="456" w:name="_Toc407085473"/>
      <w:bookmarkStart w:id="457" w:name="_Toc407085616"/>
      <w:bookmarkStart w:id="458" w:name="_Toc407086064"/>
      <w:r w:rsidRPr="00A830E9">
        <w:rPr>
          <w:rFonts w:ascii="Calibri" w:hAnsi="Calibri" w:cs="Calibri"/>
          <w:b/>
          <w:bCs/>
        </w:rPr>
        <w:t>5.7. Utrzymanie warstwy odsączającej i odcinającej</w:t>
      </w:r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</w:p>
    <w:p w14:paraId="5B2E55AB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Warstwa odsączająca i odcinająca po wykonaniu, a przed ułożeniem następnej warstwy powinny być utrzymywane w dobrym stanie.</w:t>
      </w:r>
    </w:p>
    <w:p w14:paraId="1B9955DE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Nie dopuszcza się ruchu budowlanego po wykonanej warstwie odcinającej lub odsączającej z geowłóknin.</w:t>
      </w:r>
    </w:p>
    <w:p w14:paraId="647FE9D5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W przypadku warstwy z kruszywa dopuszcza się ruch pojazdów koniecznych dla wykonania wyżej leżącej warstwy nawierzchni.</w:t>
      </w:r>
    </w:p>
    <w:p w14:paraId="1A3A7576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Koszt napraw wynikłych z niewłaściwego utrzymania warstwy obciąża Wykonawcę robót.</w:t>
      </w:r>
    </w:p>
    <w:p w14:paraId="4FB8E49E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459" w:name="_Toc406913898"/>
      <w:bookmarkStart w:id="460" w:name="_Toc406914143"/>
      <w:bookmarkStart w:id="461" w:name="_Toc406914797"/>
      <w:bookmarkStart w:id="462" w:name="_Toc406914900"/>
      <w:bookmarkStart w:id="463" w:name="_Toc406915375"/>
      <w:bookmarkStart w:id="464" w:name="_Toc406984068"/>
      <w:bookmarkStart w:id="465" w:name="_Toc406984215"/>
      <w:bookmarkStart w:id="466" w:name="_Toc406984406"/>
      <w:bookmarkStart w:id="467" w:name="_Toc407069614"/>
      <w:bookmarkStart w:id="468" w:name="_Toc407081579"/>
      <w:bookmarkStart w:id="469" w:name="_Toc407081722"/>
      <w:bookmarkStart w:id="470" w:name="_Toc407083378"/>
      <w:bookmarkStart w:id="471" w:name="_Toc407084212"/>
      <w:bookmarkStart w:id="472" w:name="_Toc407085331"/>
      <w:bookmarkStart w:id="473" w:name="_Toc407085474"/>
      <w:bookmarkStart w:id="474" w:name="_Toc407085617"/>
      <w:bookmarkStart w:id="475" w:name="_Toc407086065"/>
      <w:r w:rsidRPr="00A830E9">
        <w:rPr>
          <w:rFonts w:ascii="Calibri" w:hAnsi="Calibri" w:cs="Calibri"/>
          <w:b/>
          <w:bCs/>
        </w:rPr>
        <w:t xml:space="preserve">6. </w:t>
      </w:r>
      <w:r w:rsidR="00081B50" w:rsidRPr="00A830E9">
        <w:rPr>
          <w:rFonts w:ascii="Calibri" w:hAnsi="Calibri" w:cs="Calibri"/>
          <w:b/>
          <w:bCs/>
        </w:rPr>
        <w:t>K</w:t>
      </w:r>
      <w:r w:rsidRPr="00A830E9">
        <w:rPr>
          <w:rFonts w:ascii="Calibri" w:hAnsi="Calibri" w:cs="Calibri"/>
          <w:b/>
          <w:bCs/>
        </w:rPr>
        <w:t>ontrola jakości robót</w:t>
      </w:r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</w:p>
    <w:p w14:paraId="03275672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476" w:name="_Toc406913899"/>
      <w:bookmarkStart w:id="477" w:name="_Toc406914144"/>
      <w:bookmarkStart w:id="478" w:name="_Toc406914798"/>
      <w:bookmarkStart w:id="479" w:name="_Toc406914901"/>
      <w:bookmarkStart w:id="480" w:name="_Toc406915376"/>
      <w:bookmarkStart w:id="481" w:name="_Toc406984069"/>
      <w:bookmarkStart w:id="482" w:name="_Toc406984216"/>
      <w:bookmarkStart w:id="483" w:name="_Toc406984407"/>
      <w:bookmarkStart w:id="484" w:name="_Toc407069615"/>
      <w:bookmarkStart w:id="485" w:name="_Toc407081580"/>
      <w:bookmarkStart w:id="486" w:name="_Toc407081723"/>
      <w:bookmarkStart w:id="487" w:name="_Toc407083379"/>
      <w:bookmarkStart w:id="488" w:name="_Toc407084213"/>
      <w:bookmarkStart w:id="489" w:name="_Toc407085332"/>
      <w:bookmarkStart w:id="490" w:name="_Toc407085475"/>
      <w:bookmarkStart w:id="491" w:name="_Toc407085618"/>
      <w:bookmarkStart w:id="492" w:name="_Toc407086066"/>
      <w:r w:rsidRPr="00A830E9">
        <w:rPr>
          <w:rFonts w:ascii="Calibri" w:hAnsi="Calibri" w:cs="Calibri"/>
          <w:b/>
          <w:bCs/>
        </w:rPr>
        <w:t>6.1. Ogólne zasady kontroli jakości robót</w:t>
      </w:r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</w:p>
    <w:p w14:paraId="172C0D1D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Ogólne zasady kontroli jakości robót podano w OST D-M-00.00.00 „Wymagania ogólne” pkt 6.</w:t>
      </w:r>
    </w:p>
    <w:p w14:paraId="0FFFBFC6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493" w:name="_Toc406913900"/>
      <w:bookmarkStart w:id="494" w:name="_Toc406914145"/>
      <w:bookmarkStart w:id="495" w:name="_Toc406914799"/>
      <w:bookmarkStart w:id="496" w:name="_Toc406914902"/>
      <w:bookmarkStart w:id="497" w:name="_Toc406915377"/>
      <w:bookmarkStart w:id="498" w:name="_Toc406984070"/>
      <w:bookmarkStart w:id="499" w:name="_Toc406984217"/>
      <w:bookmarkStart w:id="500" w:name="_Toc406984408"/>
      <w:bookmarkStart w:id="501" w:name="_Toc407069616"/>
      <w:bookmarkStart w:id="502" w:name="_Toc407081581"/>
      <w:bookmarkStart w:id="503" w:name="_Toc407081724"/>
      <w:bookmarkStart w:id="504" w:name="_Toc407083380"/>
      <w:bookmarkStart w:id="505" w:name="_Toc407084214"/>
      <w:bookmarkStart w:id="506" w:name="_Toc407085333"/>
      <w:bookmarkStart w:id="507" w:name="_Toc407085476"/>
      <w:bookmarkStart w:id="508" w:name="_Toc407085619"/>
      <w:bookmarkStart w:id="509" w:name="_Toc407086067"/>
      <w:r w:rsidRPr="00A830E9">
        <w:rPr>
          <w:rFonts w:ascii="Calibri" w:hAnsi="Calibri" w:cs="Calibri"/>
          <w:b/>
          <w:bCs/>
        </w:rPr>
        <w:t>6.2. Badania przed przystąpieniem do robót</w:t>
      </w:r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</w:p>
    <w:p w14:paraId="616CB5D1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Przed przystąpieniem do robót Wykonawca powinien wykonać badania kruszyw przeznaczonych do wykonania robót i przedstawić wyniki tych badań Inżynierowi. Badania te powinny obejmować wszystkie właściwości kruszywa określone w p. 2.3.</w:t>
      </w:r>
    </w:p>
    <w:p w14:paraId="2287F72F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Geowłókniny przeznaczone do wykonania warstwy odcinającej i odsączającej powinny posiadać aprobatę techniczną, zgodnie z pkt 2.4.</w:t>
      </w:r>
    </w:p>
    <w:p w14:paraId="55227AE6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510" w:name="_Toc406913901"/>
      <w:bookmarkStart w:id="511" w:name="_Toc406914146"/>
      <w:bookmarkStart w:id="512" w:name="_Toc406914800"/>
      <w:bookmarkStart w:id="513" w:name="_Toc406914903"/>
      <w:bookmarkStart w:id="514" w:name="_Toc406915378"/>
      <w:bookmarkStart w:id="515" w:name="_Toc406984071"/>
      <w:bookmarkStart w:id="516" w:name="_Toc406984218"/>
      <w:bookmarkStart w:id="517" w:name="_Toc406984409"/>
      <w:bookmarkStart w:id="518" w:name="_Toc407069617"/>
      <w:bookmarkStart w:id="519" w:name="_Toc407081582"/>
      <w:bookmarkStart w:id="520" w:name="_Toc407081725"/>
      <w:bookmarkStart w:id="521" w:name="_Toc407083381"/>
      <w:bookmarkStart w:id="522" w:name="_Toc407084215"/>
      <w:bookmarkStart w:id="523" w:name="_Toc407085334"/>
      <w:bookmarkStart w:id="524" w:name="_Toc407085477"/>
      <w:bookmarkStart w:id="525" w:name="_Toc407085620"/>
      <w:bookmarkStart w:id="526" w:name="_Toc407086068"/>
      <w:r w:rsidRPr="00A830E9">
        <w:rPr>
          <w:rFonts w:ascii="Calibri" w:hAnsi="Calibri" w:cs="Calibri"/>
          <w:b/>
          <w:bCs/>
        </w:rPr>
        <w:t>6.3. Badania w czasie robót</w:t>
      </w:r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</w:p>
    <w:p w14:paraId="26D1A592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b/>
        </w:rPr>
        <w:t xml:space="preserve">6.3.1. </w:t>
      </w:r>
      <w:r w:rsidRPr="00A830E9">
        <w:rPr>
          <w:rFonts w:ascii="Calibri" w:hAnsi="Calibri" w:cs="Calibri"/>
        </w:rPr>
        <w:t>Częstotliwość oraz zakres badań i pomiarów</w:t>
      </w:r>
    </w:p>
    <w:p w14:paraId="53C9879D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Częstotliwość oraz zakres badań i pomiarów dotyczących cech geometrycznych i zagęszczenia warstwy odsączającej i odcinającej podaje tablica 1.</w:t>
      </w:r>
    </w:p>
    <w:p w14:paraId="75646700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lastRenderedPageBreak/>
        <w:t>Tablica 1. Częstotliwość oraz zakres badań i pomiarów warstwy odsączającej i odcinającej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23"/>
        <w:gridCol w:w="4791"/>
      </w:tblGrid>
      <w:tr w:rsidR="00073E71" w:rsidRPr="00A830E9" w14:paraId="0A273B7C" w14:textId="77777777">
        <w:tc>
          <w:tcPr>
            <w:tcW w:w="496" w:type="dxa"/>
            <w:tcBorders>
              <w:bottom w:val="double" w:sz="6" w:space="0" w:color="auto"/>
            </w:tcBorders>
          </w:tcPr>
          <w:p w14:paraId="27D06A74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Lp.</w:t>
            </w:r>
          </w:p>
        </w:tc>
        <w:tc>
          <w:tcPr>
            <w:tcW w:w="2223" w:type="dxa"/>
            <w:tcBorders>
              <w:bottom w:val="double" w:sz="6" w:space="0" w:color="auto"/>
            </w:tcBorders>
          </w:tcPr>
          <w:p w14:paraId="0190BCEF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Wyszczególnienie badań i pomiarów</w:t>
            </w:r>
          </w:p>
        </w:tc>
        <w:tc>
          <w:tcPr>
            <w:tcW w:w="4791" w:type="dxa"/>
            <w:tcBorders>
              <w:bottom w:val="double" w:sz="6" w:space="0" w:color="auto"/>
            </w:tcBorders>
          </w:tcPr>
          <w:p w14:paraId="28ACD9AB" w14:textId="77777777" w:rsidR="00073E71" w:rsidRPr="00A830E9" w:rsidRDefault="00B5464E" w:rsidP="00B5464E">
            <w:pPr>
              <w:jc w:val="lef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Minimalna częstotliwość badań</w:t>
            </w:r>
            <w:r w:rsidR="00073E71" w:rsidRPr="00A830E9">
              <w:rPr>
                <w:rFonts w:ascii="Calibri" w:hAnsi="Calibri" w:cs="Calibri"/>
              </w:rPr>
              <w:t xml:space="preserve"> i pomiarów</w:t>
            </w:r>
          </w:p>
        </w:tc>
      </w:tr>
      <w:tr w:rsidR="00073E71" w:rsidRPr="00A830E9" w14:paraId="23D81AB9" w14:textId="77777777">
        <w:tc>
          <w:tcPr>
            <w:tcW w:w="496" w:type="dxa"/>
            <w:tcBorders>
              <w:top w:val="nil"/>
            </w:tcBorders>
          </w:tcPr>
          <w:p w14:paraId="1E21B22B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1</w:t>
            </w:r>
          </w:p>
        </w:tc>
        <w:tc>
          <w:tcPr>
            <w:tcW w:w="2223" w:type="dxa"/>
            <w:tcBorders>
              <w:top w:val="nil"/>
            </w:tcBorders>
          </w:tcPr>
          <w:p w14:paraId="0DBCDA9A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Szerokość warstwy</w:t>
            </w:r>
          </w:p>
        </w:tc>
        <w:tc>
          <w:tcPr>
            <w:tcW w:w="4791" w:type="dxa"/>
            <w:tcBorders>
              <w:top w:val="nil"/>
            </w:tcBorders>
          </w:tcPr>
          <w:p w14:paraId="211AFFE8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10 razy na 1 km</w:t>
            </w:r>
          </w:p>
        </w:tc>
      </w:tr>
      <w:tr w:rsidR="00073E71" w:rsidRPr="00A830E9" w14:paraId="3C75C966" w14:textId="77777777">
        <w:tc>
          <w:tcPr>
            <w:tcW w:w="496" w:type="dxa"/>
          </w:tcPr>
          <w:p w14:paraId="3485E637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2</w:t>
            </w:r>
          </w:p>
        </w:tc>
        <w:tc>
          <w:tcPr>
            <w:tcW w:w="2223" w:type="dxa"/>
          </w:tcPr>
          <w:p w14:paraId="0FDD9441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Równość podłużna</w:t>
            </w:r>
          </w:p>
        </w:tc>
        <w:tc>
          <w:tcPr>
            <w:tcW w:w="4791" w:type="dxa"/>
          </w:tcPr>
          <w:p w14:paraId="428D294A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co 20 m na każdym pasie ruchu</w:t>
            </w:r>
          </w:p>
        </w:tc>
      </w:tr>
      <w:tr w:rsidR="00073E71" w:rsidRPr="00A830E9" w14:paraId="5070FDA3" w14:textId="77777777">
        <w:tc>
          <w:tcPr>
            <w:tcW w:w="496" w:type="dxa"/>
          </w:tcPr>
          <w:p w14:paraId="0DBC1132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3</w:t>
            </w:r>
          </w:p>
        </w:tc>
        <w:tc>
          <w:tcPr>
            <w:tcW w:w="2223" w:type="dxa"/>
          </w:tcPr>
          <w:p w14:paraId="02EC550E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Równość poprzeczna</w:t>
            </w:r>
          </w:p>
        </w:tc>
        <w:tc>
          <w:tcPr>
            <w:tcW w:w="4791" w:type="dxa"/>
          </w:tcPr>
          <w:p w14:paraId="3F879BCE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10 razy na 1 km</w:t>
            </w:r>
          </w:p>
        </w:tc>
      </w:tr>
      <w:tr w:rsidR="00073E71" w:rsidRPr="00A830E9" w14:paraId="4725A0BD" w14:textId="77777777">
        <w:tc>
          <w:tcPr>
            <w:tcW w:w="496" w:type="dxa"/>
          </w:tcPr>
          <w:p w14:paraId="19BF31DB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4</w:t>
            </w:r>
          </w:p>
        </w:tc>
        <w:tc>
          <w:tcPr>
            <w:tcW w:w="2223" w:type="dxa"/>
          </w:tcPr>
          <w:p w14:paraId="56E857A7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 xml:space="preserve">Spadki poprzeczne </w:t>
            </w:r>
            <w:r w:rsidRPr="00A830E9">
              <w:rPr>
                <w:rFonts w:ascii="Calibri" w:hAnsi="Calibri" w:cs="Calibri"/>
                <w:vertAlign w:val="superscript"/>
              </w:rPr>
              <w:t>*)</w:t>
            </w:r>
          </w:p>
        </w:tc>
        <w:tc>
          <w:tcPr>
            <w:tcW w:w="4791" w:type="dxa"/>
          </w:tcPr>
          <w:p w14:paraId="2A778B3E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10 razy na 1 km</w:t>
            </w:r>
          </w:p>
        </w:tc>
      </w:tr>
      <w:tr w:rsidR="00073E71" w:rsidRPr="00A830E9" w14:paraId="44EBA6B5" w14:textId="77777777">
        <w:tc>
          <w:tcPr>
            <w:tcW w:w="496" w:type="dxa"/>
          </w:tcPr>
          <w:p w14:paraId="09945CFD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5</w:t>
            </w:r>
          </w:p>
        </w:tc>
        <w:tc>
          <w:tcPr>
            <w:tcW w:w="2223" w:type="dxa"/>
          </w:tcPr>
          <w:p w14:paraId="1BBFFFB9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Rzędne wysokościowe</w:t>
            </w:r>
          </w:p>
        </w:tc>
        <w:tc>
          <w:tcPr>
            <w:tcW w:w="4791" w:type="dxa"/>
          </w:tcPr>
          <w:p w14:paraId="2FC21D52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co 25 m w osi jezdni i na jej krawędziach dla autostrad i dróg ekspresowych, co 100 m dla pozostałych dróg</w:t>
            </w:r>
          </w:p>
        </w:tc>
      </w:tr>
      <w:tr w:rsidR="00073E71" w:rsidRPr="00A830E9" w14:paraId="282E8EFE" w14:textId="77777777">
        <w:tc>
          <w:tcPr>
            <w:tcW w:w="496" w:type="dxa"/>
          </w:tcPr>
          <w:p w14:paraId="1F675861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6</w:t>
            </w:r>
          </w:p>
        </w:tc>
        <w:tc>
          <w:tcPr>
            <w:tcW w:w="2223" w:type="dxa"/>
          </w:tcPr>
          <w:p w14:paraId="5AB646EC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 xml:space="preserve">Ukształtowanie osi w planie </w:t>
            </w:r>
            <w:r w:rsidRPr="00A830E9">
              <w:rPr>
                <w:rFonts w:ascii="Calibri" w:hAnsi="Calibri" w:cs="Calibri"/>
                <w:vertAlign w:val="superscript"/>
              </w:rPr>
              <w:t>*)</w:t>
            </w:r>
          </w:p>
        </w:tc>
        <w:tc>
          <w:tcPr>
            <w:tcW w:w="4791" w:type="dxa"/>
          </w:tcPr>
          <w:p w14:paraId="1DCBA2BB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co 25 m w osi jezdni i na jej krawędziach dla autostrad i dróg ekspresowych, co 100 m dla pozostałych dróg</w:t>
            </w:r>
          </w:p>
        </w:tc>
      </w:tr>
      <w:tr w:rsidR="00073E71" w:rsidRPr="00A830E9" w14:paraId="3E22D1B5" w14:textId="77777777">
        <w:tc>
          <w:tcPr>
            <w:tcW w:w="496" w:type="dxa"/>
          </w:tcPr>
          <w:p w14:paraId="1D305C73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7</w:t>
            </w:r>
          </w:p>
        </w:tc>
        <w:tc>
          <w:tcPr>
            <w:tcW w:w="2223" w:type="dxa"/>
          </w:tcPr>
          <w:p w14:paraId="635767C4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Grubość warstwy</w:t>
            </w:r>
          </w:p>
        </w:tc>
        <w:tc>
          <w:tcPr>
            <w:tcW w:w="4791" w:type="dxa"/>
          </w:tcPr>
          <w:p w14:paraId="2B34A8B0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Podczas budowy:</w:t>
            </w:r>
          </w:p>
          <w:p w14:paraId="1E3843A7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w 3 punktach na każdej działce roboczej, lecz nie rzadziej niż raz na 400 m</w:t>
            </w:r>
            <w:r w:rsidRPr="00A830E9">
              <w:rPr>
                <w:rFonts w:ascii="Calibri" w:hAnsi="Calibri" w:cs="Calibri"/>
                <w:vertAlign w:val="superscript"/>
              </w:rPr>
              <w:t>2</w:t>
            </w:r>
          </w:p>
          <w:p w14:paraId="6F881DBB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Przed odbiorem:</w:t>
            </w:r>
          </w:p>
          <w:p w14:paraId="53E97463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w 3 punktach, lecz nie rzadziej niż raz na 2000 m</w:t>
            </w:r>
            <w:r w:rsidRPr="00A830E9">
              <w:rPr>
                <w:rFonts w:ascii="Calibri" w:hAnsi="Calibri" w:cs="Calibri"/>
                <w:vertAlign w:val="superscript"/>
              </w:rPr>
              <w:t>2</w:t>
            </w:r>
          </w:p>
        </w:tc>
      </w:tr>
      <w:tr w:rsidR="00073E71" w:rsidRPr="00A830E9" w14:paraId="55238D8B" w14:textId="77777777">
        <w:tc>
          <w:tcPr>
            <w:tcW w:w="496" w:type="dxa"/>
          </w:tcPr>
          <w:p w14:paraId="58D3DB21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8</w:t>
            </w:r>
          </w:p>
        </w:tc>
        <w:tc>
          <w:tcPr>
            <w:tcW w:w="2223" w:type="dxa"/>
          </w:tcPr>
          <w:p w14:paraId="528A5AAD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Zagęszczenie,  wilgotność kruszywa</w:t>
            </w:r>
          </w:p>
        </w:tc>
        <w:tc>
          <w:tcPr>
            <w:tcW w:w="4791" w:type="dxa"/>
          </w:tcPr>
          <w:p w14:paraId="20C588F3" w14:textId="77777777" w:rsidR="00073E71" w:rsidRPr="00A830E9" w:rsidRDefault="00073E71" w:rsidP="00B5464E">
            <w:pPr>
              <w:jc w:val="left"/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w 2 punktach na dziennej działce roboczej, lecz nie rzadziej niż raz na 600 m</w:t>
            </w:r>
            <w:r w:rsidRPr="00A830E9">
              <w:rPr>
                <w:rFonts w:ascii="Calibri" w:hAnsi="Calibri" w:cs="Calibri"/>
                <w:vertAlign w:val="superscript"/>
              </w:rPr>
              <w:t>2</w:t>
            </w:r>
          </w:p>
        </w:tc>
      </w:tr>
    </w:tbl>
    <w:p w14:paraId="4FFA0156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>*) Dodatkowe pomiary spadków poprzecznych i ukształtowania osi w planie należy wykonać w punktach głównych łuków poziomych.</w:t>
      </w:r>
    </w:p>
    <w:p w14:paraId="4512130A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b/>
          <w:bCs/>
        </w:rPr>
        <w:t>6.3.2.</w:t>
      </w:r>
      <w:r w:rsidRPr="00A830E9">
        <w:rPr>
          <w:rFonts w:ascii="Calibri" w:hAnsi="Calibri" w:cs="Calibri"/>
        </w:rPr>
        <w:t xml:space="preserve"> Szerokość warstwy</w:t>
      </w:r>
    </w:p>
    <w:p w14:paraId="61713575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Szerokość warstwy nie może się różnić od szerokości projektowanej o więcej niż +10 cm, -5 cm.</w:t>
      </w:r>
    </w:p>
    <w:p w14:paraId="4F1CA6A4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b/>
        </w:rPr>
        <w:t xml:space="preserve">6.3.3. </w:t>
      </w:r>
      <w:r w:rsidRPr="00A830E9">
        <w:rPr>
          <w:rFonts w:ascii="Calibri" w:hAnsi="Calibri" w:cs="Calibri"/>
        </w:rPr>
        <w:t>Równość warstwy</w:t>
      </w:r>
    </w:p>
    <w:p w14:paraId="1931B2F4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Nierówności podłużne warstwy odcinającej i odsączającej należy mierzyć</w:t>
      </w:r>
    </w:p>
    <w:p w14:paraId="22AAF829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>4 metrową łatą, zgodnie z normą BN-68/8931-04 [7].</w:t>
      </w:r>
    </w:p>
    <w:p w14:paraId="13FEF53E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Nierówności poprzeczne warstwy odcinającej i odsączającej należy mierzyć</w:t>
      </w:r>
    </w:p>
    <w:p w14:paraId="371315C7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>4 metrową łatą.</w:t>
      </w:r>
    </w:p>
    <w:p w14:paraId="72374D5B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Nierówności nie mogą przekraczać 20 mm.</w:t>
      </w:r>
    </w:p>
    <w:p w14:paraId="4E9F82A3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b/>
        </w:rPr>
        <w:t xml:space="preserve">6.3.4. </w:t>
      </w:r>
      <w:r w:rsidRPr="00A830E9">
        <w:rPr>
          <w:rFonts w:ascii="Calibri" w:hAnsi="Calibri" w:cs="Calibri"/>
        </w:rPr>
        <w:t>Spadki poprzeczne</w:t>
      </w:r>
    </w:p>
    <w:p w14:paraId="58637451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 xml:space="preserve">Spadki poprzeczne warstwy odcinającej i odsączającej na prostych i łukach powinny być zgodne z dokumentacją projektową z tolerancją </w:t>
      </w:r>
      <w:r w:rsidRPr="00A830E9">
        <w:rPr>
          <w:rFonts w:ascii="Calibri" w:hAnsi="Calibri" w:cs="Calibri"/>
        </w:rPr>
        <w:sym w:font="Symbol" w:char="F0B1"/>
      </w:r>
      <w:r w:rsidRPr="00A830E9">
        <w:rPr>
          <w:rFonts w:ascii="Calibri" w:hAnsi="Calibri" w:cs="Calibri"/>
        </w:rPr>
        <w:t xml:space="preserve"> 0,5%.</w:t>
      </w:r>
    </w:p>
    <w:p w14:paraId="7A721DBD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b/>
          <w:bCs/>
        </w:rPr>
        <w:t>6.3.5.</w:t>
      </w:r>
      <w:r w:rsidRPr="00A830E9">
        <w:rPr>
          <w:rFonts w:ascii="Calibri" w:hAnsi="Calibri" w:cs="Calibri"/>
        </w:rPr>
        <w:t xml:space="preserve"> Rzędne wysokościowe</w:t>
      </w:r>
    </w:p>
    <w:p w14:paraId="06EBE575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Różnice pomiędzy rzędnymi wysokościowymi warstwy i rzędnymi projektowanymi nie powinny przekraczać +1 cm i -2 cm.</w:t>
      </w:r>
    </w:p>
    <w:p w14:paraId="22CE6E7B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b/>
        </w:rPr>
        <w:t xml:space="preserve">6.3.6. </w:t>
      </w:r>
      <w:r w:rsidRPr="00A830E9">
        <w:rPr>
          <w:rFonts w:ascii="Calibri" w:hAnsi="Calibri" w:cs="Calibri"/>
        </w:rPr>
        <w:t>Ukształtowanie osi w planie</w:t>
      </w:r>
    </w:p>
    <w:p w14:paraId="64712844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 xml:space="preserve">Oś w planie nie może być przesunięta w stosunku do osi projektowanej o więcej niż </w:t>
      </w:r>
      <w:r w:rsidRPr="00A830E9">
        <w:rPr>
          <w:rFonts w:ascii="Calibri" w:hAnsi="Calibri" w:cs="Calibri"/>
        </w:rPr>
        <w:sym w:font="Symbol" w:char="F0B1"/>
      </w:r>
      <w:r w:rsidRPr="00A830E9">
        <w:rPr>
          <w:rFonts w:ascii="Calibri" w:hAnsi="Calibri" w:cs="Calibri"/>
        </w:rPr>
        <w:t xml:space="preserve"> 3 cm dla autostrad i dróg ekspresowych lub o więcej niż </w:t>
      </w:r>
      <w:r w:rsidRPr="00A830E9">
        <w:rPr>
          <w:rFonts w:ascii="Calibri" w:hAnsi="Calibri" w:cs="Calibri"/>
        </w:rPr>
        <w:sym w:font="Symbol" w:char="F0B1"/>
      </w:r>
      <w:r w:rsidRPr="00A830E9">
        <w:rPr>
          <w:rFonts w:ascii="Calibri" w:hAnsi="Calibri" w:cs="Calibri"/>
        </w:rPr>
        <w:t xml:space="preserve"> 5 cm dla pozostałych dróg.</w:t>
      </w:r>
    </w:p>
    <w:p w14:paraId="6422B2C2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b/>
        </w:rPr>
        <w:t xml:space="preserve">6.3.7. </w:t>
      </w:r>
      <w:r w:rsidRPr="00A830E9">
        <w:rPr>
          <w:rFonts w:ascii="Calibri" w:hAnsi="Calibri" w:cs="Calibri"/>
        </w:rPr>
        <w:t>Grubość warstwy</w:t>
      </w:r>
    </w:p>
    <w:p w14:paraId="2230B88F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Grubość warstwy powinna być zgodna z określoną w dokumentacji projektowej z tolerancją +1 cm, -2 cm.</w:t>
      </w:r>
    </w:p>
    <w:p w14:paraId="422517FF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Jeżeli warstwa, ze względów technologicznych, została wykonana w dwóch warstwach, należy mierzyć łączną grubość tych warstw.</w:t>
      </w:r>
    </w:p>
    <w:p w14:paraId="24166782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Na wszystkich powierzchniach wadliwych pod względem grubości Wykonawca wykona naprawę warstwy przez spulchnienie warstwy na głębokość co najmniej 10 cm, uzupełnienie nowym materiałem o odpowiednich właściwościach, wyrównanie i ponowne zagęszczenie.</w:t>
      </w:r>
    </w:p>
    <w:p w14:paraId="0A8D9FDA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Roboty te Wykonawca wykona na własny koszt. Po wykonaniu tych robót nastąpi ponowny pomiar i ocena grubości warstwy, według wyżej podanych zasad na koszt Wykonawcy.</w:t>
      </w:r>
    </w:p>
    <w:p w14:paraId="763A1574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b/>
        </w:rPr>
        <w:t xml:space="preserve">6.3.8. </w:t>
      </w:r>
      <w:r w:rsidRPr="00A830E9">
        <w:rPr>
          <w:rFonts w:ascii="Calibri" w:hAnsi="Calibri" w:cs="Calibri"/>
        </w:rPr>
        <w:t>Zagęszczenie warstwy</w:t>
      </w:r>
    </w:p>
    <w:p w14:paraId="2D560A3D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Wskaźnik zagęszczenia warstwy odcinającej i odsączającej, określony wg BN-77/8931-12 [8] nie powinien być mniejszy od 1.</w:t>
      </w:r>
    </w:p>
    <w:p w14:paraId="58D38CD1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Jeżeli jako kryterium dobrego zagęszczenia warstwy stosuje się porównanie wartości modułów odkształcenia, to wartość stosunku wtórnego do pierwotnego modułu odkształcenia, określonych zgodnie z normą BN-64/8931-02 [6], nie powinna być większa od 2,2.</w:t>
      </w:r>
    </w:p>
    <w:p w14:paraId="46CE12C7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Wilgotność kruszywa w czasie zagęszczenia należy badać według PN-B-06714-17 [2]. Wilgotność kruszywa powinna być równa wilgotności optymalnej z tolerancją od -20% do +10%.</w:t>
      </w:r>
    </w:p>
    <w:p w14:paraId="6AB348DD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  <w:b/>
        </w:rPr>
        <w:t xml:space="preserve">6.3.9. </w:t>
      </w:r>
      <w:r w:rsidRPr="00A830E9">
        <w:rPr>
          <w:rFonts w:ascii="Calibri" w:hAnsi="Calibri" w:cs="Calibri"/>
        </w:rPr>
        <w:t>Badania dotyczące warstwy odsączającej i odcinającej z geowłóknin</w:t>
      </w:r>
    </w:p>
    <w:p w14:paraId="7AFF27B0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W czasie układania warstwy odcinającej i odsączającej z geowłóknin należy kontrolować:</w:t>
      </w:r>
    </w:p>
    <w:p w14:paraId="29A2903D" w14:textId="77777777" w:rsidR="00073E71" w:rsidRPr="00A830E9" w:rsidRDefault="00073E71" w:rsidP="00827F3D">
      <w:pPr>
        <w:numPr>
          <w:ilvl w:val="0"/>
          <w:numId w:val="2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zgodność oznaczenia poszczególnych bel (rolek) geowłóknin z określonym w dokumentacji projektowej,</w:t>
      </w:r>
    </w:p>
    <w:p w14:paraId="5C842D08" w14:textId="77777777" w:rsidR="00073E71" w:rsidRPr="00A830E9" w:rsidRDefault="00073E71" w:rsidP="00827F3D">
      <w:pPr>
        <w:numPr>
          <w:ilvl w:val="0"/>
          <w:numId w:val="2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lastRenderedPageBreak/>
        <w:t>równość warstwy,</w:t>
      </w:r>
    </w:p>
    <w:p w14:paraId="55C06093" w14:textId="77777777" w:rsidR="00073E71" w:rsidRPr="00A830E9" w:rsidRDefault="00073E71" w:rsidP="00827F3D">
      <w:pPr>
        <w:numPr>
          <w:ilvl w:val="0"/>
          <w:numId w:val="2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wielkość zakładu przyległych pasm i sposób ich łączenia,</w:t>
      </w:r>
    </w:p>
    <w:p w14:paraId="5045CAFB" w14:textId="77777777" w:rsidR="00073E71" w:rsidRPr="00A830E9" w:rsidRDefault="00073E71" w:rsidP="00827F3D">
      <w:pPr>
        <w:numPr>
          <w:ilvl w:val="0"/>
          <w:numId w:val="2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zamocowanie warstwy do podłoża gruntowego, o ile przewidziano to w dokumentacji projektowej.</w:t>
      </w:r>
    </w:p>
    <w:p w14:paraId="2088E863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Ponadto należy sprawdzić, czy nie nastąpiło mechaniczne uszkodzenie geowłókniny (rozerwanie, przebicie). Pasma geowłókniny użyte do wykonania warstwy odcinającej i odsączającej nie powinny mieć takich uszkodzeń.</w:t>
      </w:r>
    </w:p>
    <w:p w14:paraId="3F47D257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527" w:name="_Toc406913902"/>
      <w:bookmarkStart w:id="528" w:name="_Toc406914147"/>
      <w:bookmarkStart w:id="529" w:name="_Toc406914801"/>
      <w:bookmarkStart w:id="530" w:name="_Toc406914904"/>
      <w:bookmarkStart w:id="531" w:name="_Toc406915379"/>
      <w:bookmarkStart w:id="532" w:name="_Toc406984072"/>
      <w:bookmarkStart w:id="533" w:name="_Toc406984219"/>
      <w:bookmarkStart w:id="534" w:name="_Toc406984410"/>
      <w:bookmarkStart w:id="535" w:name="_Toc407069618"/>
      <w:bookmarkStart w:id="536" w:name="_Toc407081583"/>
      <w:bookmarkStart w:id="537" w:name="_Toc407081726"/>
      <w:bookmarkStart w:id="538" w:name="_Toc407083382"/>
      <w:bookmarkStart w:id="539" w:name="_Toc407084216"/>
      <w:bookmarkStart w:id="540" w:name="_Toc407085335"/>
      <w:bookmarkStart w:id="541" w:name="_Toc407085478"/>
      <w:bookmarkStart w:id="542" w:name="_Toc407085621"/>
      <w:bookmarkStart w:id="543" w:name="_Toc407086069"/>
      <w:r w:rsidRPr="00A830E9">
        <w:rPr>
          <w:rFonts w:ascii="Calibri" w:hAnsi="Calibri" w:cs="Calibri"/>
          <w:b/>
          <w:bCs/>
        </w:rPr>
        <w:t>6.4. Zasady postępowania z odcinkami wadliwie wykonanymi</w:t>
      </w:r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</w:p>
    <w:p w14:paraId="415D2C2C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Wszystkie powierzchnie, które wykazują większe odchylenia cech geometrycznych od określonych w p. 6.3, powinny być naprawione przez spulchnienie do głębokości co najmniej 10 cm, wyrównane i powtórnie zagęszczone. Dodanie nowego materiału bez spulchnienia wykonanej warstwy jest niedopuszczalne.</w:t>
      </w:r>
    </w:p>
    <w:p w14:paraId="2E746249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544" w:name="_Toc406913903"/>
      <w:bookmarkStart w:id="545" w:name="_Toc406914148"/>
      <w:bookmarkStart w:id="546" w:name="_Toc406914802"/>
      <w:bookmarkStart w:id="547" w:name="_Toc406914905"/>
      <w:bookmarkStart w:id="548" w:name="_Toc406915380"/>
      <w:bookmarkStart w:id="549" w:name="_Toc406984073"/>
      <w:bookmarkStart w:id="550" w:name="_Toc406984220"/>
      <w:bookmarkStart w:id="551" w:name="_Toc406984411"/>
      <w:bookmarkStart w:id="552" w:name="_Toc407069619"/>
      <w:bookmarkStart w:id="553" w:name="_Toc407081584"/>
      <w:bookmarkStart w:id="554" w:name="_Toc407081727"/>
      <w:bookmarkStart w:id="555" w:name="_Toc407083383"/>
      <w:bookmarkStart w:id="556" w:name="_Toc407084217"/>
      <w:bookmarkStart w:id="557" w:name="_Toc407085336"/>
      <w:bookmarkStart w:id="558" w:name="_Toc407085479"/>
      <w:bookmarkStart w:id="559" w:name="_Toc407085622"/>
      <w:bookmarkStart w:id="560" w:name="_Toc407086070"/>
      <w:r w:rsidRPr="00A830E9">
        <w:rPr>
          <w:rFonts w:ascii="Calibri" w:hAnsi="Calibri" w:cs="Calibri"/>
          <w:b/>
          <w:bCs/>
        </w:rPr>
        <w:t xml:space="preserve">7. </w:t>
      </w:r>
      <w:r w:rsidR="00081B50" w:rsidRPr="00A830E9">
        <w:rPr>
          <w:rFonts w:ascii="Calibri" w:hAnsi="Calibri" w:cs="Calibri"/>
          <w:b/>
          <w:bCs/>
        </w:rPr>
        <w:t>O</w:t>
      </w:r>
      <w:r w:rsidRPr="00A830E9">
        <w:rPr>
          <w:rFonts w:ascii="Calibri" w:hAnsi="Calibri" w:cs="Calibri"/>
          <w:b/>
          <w:bCs/>
        </w:rPr>
        <w:t>bmiar robót</w:t>
      </w:r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</w:p>
    <w:p w14:paraId="41EB5D3E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561" w:name="_Toc406913904"/>
      <w:bookmarkStart w:id="562" w:name="_Toc406914149"/>
      <w:bookmarkStart w:id="563" w:name="_Toc406914803"/>
      <w:bookmarkStart w:id="564" w:name="_Toc406914906"/>
      <w:bookmarkStart w:id="565" w:name="_Toc406915381"/>
      <w:bookmarkStart w:id="566" w:name="_Toc406984074"/>
      <w:bookmarkStart w:id="567" w:name="_Toc406984221"/>
      <w:bookmarkStart w:id="568" w:name="_Toc406984412"/>
      <w:bookmarkStart w:id="569" w:name="_Toc407069620"/>
      <w:bookmarkStart w:id="570" w:name="_Toc407081585"/>
      <w:bookmarkStart w:id="571" w:name="_Toc407081728"/>
      <w:bookmarkStart w:id="572" w:name="_Toc407083384"/>
      <w:bookmarkStart w:id="573" w:name="_Toc407084218"/>
      <w:bookmarkStart w:id="574" w:name="_Toc407085337"/>
      <w:bookmarkStart w:id="575" w:name="_Toc407085480"/>
      <w:bookmarkStart w:id="576" w:name="_Toc407085623"/>
      <w:bookmarkStart w:id="577" w:name="_Toc407086071"/>
      <w:r w:rsidRPr="00A830E9">
        <w:rPr>
          <w:rFonts w:ascii="Calibri" w:hAnsi="Calibri" w:cs="Calibri"/>
          <w:b/>
          <w:bCs/>
        </w:rPr>
        <w:t>7.1. Ogólne zasady obmiaru robót</w:t>
      </w:r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</w:p>
    <w:p w14:paraId="7D64DB60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Ogólne zasady obmiaru robót podano w OST D-M-00.00.00 „Wymagania ogólne” pkt 7.</w:t>
      </w:r>
    </w:p>
    <w:p w14:paraId="2140F97F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578" w:name="_Toc406913905"/>
      <w:bookmarkStart w:id="579" w:name="_Toc406914150"/>
      <w:bookmarkStart w:id="580" w:name="_Toc406914804"/>
      <w:bookmarkStart w:id="581" w:name="_Toc406914907"/>
      <w:bookmarkStart w:id="582" w:name="_Toc406915382"/>
      <w:bookmarkStart w:id="583" w:name="_Toc406984075"/>
      <w:bookmarkStart w:id="584" w:name="_Toc406984222"/>
      <w:bookmarkStart w:id="585" w:name="_Toc406984413"/>
      <w:bookmarkStart w:id="586" w:name="_Toc407069621"/>
      <w:bookmarkStart w:id="587" w:name="_Toc407081586"/>
      <w:bookmarkStart w:id="588" w:name="_Toc407081729"/>
      <w:bookmarkStart w:id="589" w:name="_Toc407083385"/>
      <w:bookmarkStart w:id="590" w:name="_Toc407084219"/>
      <w:bookmarkStart w:id="591" w:name="_Toc407085338"/>
      <w:bookmarkStart w:id="592" w:name="_Toc407085481"/>
      <w:bookmarkStart w:id="593" w:name="_Toc407085624"/>
      <w:bookmarkStart w:id="594" w:name="_Toc407086072"/>
      <w:r w:rsidRPr="00A830E9">
        <w:rPr>
          <w:rFonts w:ascii="Calibri" w:hAnsi="Calibri" w:cs="Calibri"/>
          <w:b/>
          <w:bCs/>
        </w:rPr>
        <w:t>7.2. Jednostka obmiarowa</w:t>
      </w:r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</w:p>
    <w:p w14:paraId="54B04E48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Jednostką obmiarową jest m</w:t>
      </w:r>
      <w:r w:rsidRPr="00A830E9">
        <w:rPr>
          <w:rFonts w:ascii="Calibri" w:hAnsi="Calibri" w:cs="Calibri"/>
          <w:vertAlign w:val="superscript"/>
        </w:rPr>
        <w:t>2</w:t>
      </w:r>
      <w:r w:rsidRPr="00A830E9">
        <w:rPr>
          <w:rFonts w:ascii="Calibri" w:hAnsi="Calibri" w:cs="Calibri"/>
        </w:rPr>
        <w:t xml:space="preserve"> (metr kwadratowy) warstwy odcinającej</w:t>
      </w:r>
      <w:r w:rsidR="00B5464E">
        <w:rPr>
          <w:rFonts w:ascii="Calibri" w:hAnsi="Calibri" w:cs="Calibri"/>
        </w:rPr>
        <w:t xml:space="preserve"> </w:t>
      </w:r>
      <w:r w:rsidRPr="00A830E9">
        <w:rPr>
          <w:rFonts w:ascii="Calibri" w:hAnsi="Calibri" w:cs="Calibri"/>
        </w:rPr>
        <w:t>i odsączającej.</w:t>
      </w:r>
    </w:p>
    <w:p w14:paraId="0AB8157F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595" w:name="_Toc406913906"/>
      <w:bookmarkStart w:id="596" w:name="_Toc406914151"/>
      <w:bookmarkStart w:id="597" w:name="_Toc406914805"/>
      <w:bookmarkStart w:id="598" w:name="_Toc406914908"/>
      <w:bookmarkStart w:id="599" w:name="_Toc406915383"/>
      <w:bookmarkStart w:id="600" w:name="_Toc406984076"/>
      <w:bookmarkStart w:id="601" w:name="_Toc406984223"/>
      <w:bookmarkStart w:id="602" w:name="_Toc406984414"/>
      <w:bookmarkStart w:id="603" w:name="_Toc407069622"/>
      <w:bookmarkStart w:id="604" w:name="_Toc407081587"/>
      <w:bookmarkStart w:id="605" w:name="_Toc407081730"/>
      <w:bookmarkStart w:id="606" w:name="_Toc407083386"/>
      <w:bookmarkStart w:id="607" w:name="_Toc407084220"/>
      <w:bookmarkStart w:id="608" w:name="_Toc407085339"/>
      <w:bookmarkStart w:id="609" w:name="_Toc407085482"/>
      <w:bookmarkStart w:id="610" w:name="_Toc407085625"/>
      <w:bookmarkStart w:id="611" w:name="_Toc407086073"/>
      <w:r w:rsidRPr="00A830E9">
        <w:rPr>
          <w:rFonts w:ascii="Calibri" w:hAnsi="Calibri" w:cs="Calibri"/>
          <w:b/>
          <w:bCs/>
        </w:rPr>
        <w:t xml:space="preserve">8. </w:t>
      </w:r>
      <w:r w:rsidR="00081B50" w:rsidRPr="00A830E9">
        <w:rPr>
          <w:rFonts w:ascii="Calibri" w:hAnsi="Calibri" w:cs="Calibri"/>
          <w:b/>
          <w:bCs/>
        </w:rPr>
        <w:t>O</w:t>
      </w:r>
      <w:r w:rsidRPr="00A830E9">
        <w:rPr>
          <w:rFonts w:ascii="Calibri" w:hAnsi="Calibri" w:cs="Calibri"/>
          <w:b/>
          <w:bCs/>
        </w:rPr>
        <w:t>dbiór robót</w:t>
      </w:r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  <w:bookmarkEnd w:id="610"/>
      <w:bookmarkEnd w:id="611"/>
    </w:p>
    <w:p w14:paraId="531D6DD8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Ogólne zasady odbioru robót podano w OST D-M-00.00.00 „Wymagania ogólne” pkt 8.</w:t>
      </w:r>
    </w:p>
    <w:p w14:paraId="2B0BE6F7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Roboty uznaje się za wykonane zgodnie z dokumentacją projektową, SST i wymaganiami Inżyniera, jeżeli wszystkie pomiary i badania z zachowaniem tolerancji wg pkt 6 dały wyniki pozytywne.</w:t>
      </w:r>
    </w:p>
    <w:p w14:paraId="02A85000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612" w:name="_Toc406913907"/>
      <w:bookmarkStart w:id="613" w:name="_Toc406914152"/>
      <w:bookmarkStart w:id="614" w:name="_Toc406914806"/>
      <w:bookmarkStart w:id="615" w:name="_Toc406914909"/>
      <w:bookmarkStart w:id="616" w:name="_Toc406915384"/>
      <w:bookmarkStart w:id="617" w:name="_Toc406984077"/>
      <w:bookmarkStart w:id="618" w:name="_Toc406984224"/>
      <w:bookmarkStart w:id="619" w:name="_Toc406984415"/>
      <w:bookmarkStart w:id="620" w:name="_Toc407069623"/>
      <w:bookmarkStart w:id="621" w:name="_Toc407081588"/>
      <w:bookmarkStart w:id="622" w:name="_Toc407081731"/>
      <w:bookmarkStart w:id="623" w:name="_Toc407083387"/>
      <w:bookmarkStart w:id="624" w:name="_Toc407084221"/>
      <w:bookmarkStart w:id="625" w:name="_Toc407085340"/>
      <w:bookmarkStart w:id="626" w:name="_Toc407085483"/>
      <w:bookmarkStart w:id="627" w:name="_Toc407085626"/>
      <w:bookmarkStart w:id="628" w:name="_Toc407086074"/>
      <w:r w:rsidRPr="00A830E9">
        <w:rPr>
          <w:rFonts w:ascii="Calibri" w:hAnsi="Calibri" w:cs="Calibri"/>
          <w:b/>
          <w:bCs/>
        </w:rPr>
        <w:t xml:space="preserve">9. </w:t>
      </w:r>
      <w:r w:rsidR="00081B50" w:rsidRPr="00A830E9">
        <w:rPr>
          <w:rFonts w:ascii="Calibri" w:hAnsi="Calibri" w:cs="Calibri"/>
          <w:b/>
          <w:bCs/>
        </w:rPr>
        <w:t>P</w:t>
      </w:r>
      <w:r w:rsidRPr="00A830E9">
        <w:rPr>
          <w:rFonts w:ascii="Calibri" w:hAnsi="Calibri" w:cs="Calibri"/>
          <w:b/>
          <w:bCs/>
        </w:rPr>
        <w:t>odstawa płatności</w:t>
      </w:r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</w:p>
    <w:p w14:paraId="0E11C14E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629" w:name="_Toc406913908"/>
      <w:bookmarkStart w:id="630" w:name="_Toc406914153"/>
      <w:bookmarkStart w:id="631" w:name="_Toc406914807"/>
      <w:bookmarkStart w:id="632" w:name="_Toc406914910"/>
      <w:bookmarkStart w:id="633" w:name="_Toc406915385"/>
      <w:bookmarkStart w:id="634" w:name="_Toc406984078"/>
      <w:bookmarkStart w:id="635" w:name="_Toc406984225"/>
      <w:bookmarkStart w:id="636" w:name="_Toc406984416"/>
      <w:bookmarkStart w:id="637" w:name="_Toc407069624"/>
      <w:bookmarkStart w:id="638" w:name="_Toc407081589"/>
      <w:bookmarkStart w:id="639" w:name="_Toc407081732"/>
      <w:bookmarkStart w:id="640" w:name="_Toc407083388"/>
      <w:bookmarkStart w:id="641" w:name="_Toc407084222"/>
      <w:bookmarkStart w:id="642" w:name="_Toc407085341"/>
      <w:bookmarkStart w:id="643" w:name="_Toc407085484"/>
      <w:bookmarkStart w:id="644" w:name="_Toc407085627"/>
      <w:bookmarkStart w:id="645" w:name="_Toc407086075"/>
      <w:r w:rsidRPr="00A830E9">
        <w:rPr>
          <w:rFonts w:ascii="Calibri" w:hAnsi="Calibri" w:cs="Calibri"/>
          <w:b/>
          <w:bCs/>
        </w:rPr>
        <w:t>9.1. Ogólne ustalenia dotyczące podstawy płatności</w:t>
      </w:r>
      <w:bookmarkEnd w:id="629"/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</w:p>
    <w:p w14:paraId="5A3194BE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Ogólne ustalenia dotyczące podstawy płatności podano w OST D-M-00.00.00 „Wymagania ogólne” pkt 9.</w:t>
      </w:r>
    </w:p>
    <w:p w14:paraId="3B2431D6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646" w:name="_Toc406913909"/>
      <w:bookmarkStart w:id="647" w:name="_Toc406914154"/>
      <w:bookmarkStart w:id="648" w:name="_Toc406914808"/>
      <w:bookmarkStart w:id="649" w:name="_Toc406914911"/>
      <w:bookmarkStart w:id="650" w:name="_Toc406915386"/>
      <w:bookmarkStart w:id="651" w:name="_Toc406984079"/>
      <w:bookmarkStart w:id="652" w:name="_Toc406984226"/>
      <w:bookmarkStart w:id="653" w:name="_Toc406984417"/>
      <w:bookmarkStart w:id="654" w:name="_Toc407069625"/>
      <w:bookmarkStart w:id="655" w:name="_Toc407081590"/>
      <w:bookmarkStart w:id="656" w:name="_Toc407081733"/>
      <w:bookmarkStart w:id="657" w:name="_Toc407083389"/>
      <w:bookmarkStart w:id="658" w:name="_Toc407084223"/>
      <w:bookmarkStart w:id="659" w:name="_Toc407085342"/>
      <w:bookmarkStart w:id="660" w:name="_Toc407085485"/>
      <w:bookmarkStart w:id="661" w:name="_Toc407085628"/>
      <w:bookmarkStart w:id="662" w:name="_Toc407086076"/>
      <w:r w:rsidRPr="00A830E9">
        <w:rPr>
          <w:rFonts w:ascii="Calibri" w:hAnsi="Calibri" w:cs="Calibri"/>
          <w:b/>
          <w:bCs/>
        </w:rPr>
        <w:t>9.2. Cena jednostki obmiarowej</w:t>
      </w:r>
      <w:bookmarkEnd w:id="646"/>
      <w:bookmarkEnd w:id="647"/>
      <w:bookmarkEnd w:id="648"/>
      <w:bookmarkEnd w:id="649"/>
      <w:bookmarkEnd w:id="650"/>
      <w:bookmarkEnd w:id="651"/>
      <w:bookmarkEnd w:id="652"/>
      <w:bookmarkEnd w:id="653"/>
      <w:bookmarkEnd w:id="654"/>
      <w:bookmarkEnd w:id="655"/>
      <w:bookmarkEnd w:id="656"/>
      <w:bookmarkEnd w:id="657"/>
      <w:bookmarkEnd w:id="658"/>
      <w:bookmarkEnd w:id="659"/>
      <w:bookmarkEnd w:id="660"/>
      <w:bookmarkEnd w:id="661"/>
      <w:bookmarkEnd w:id="662"/>
    </w:p>
    <w:p w14:paraId="7698BF66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Cena wykonania 1m</w:t>
      </w:r>
      <w:r w:rsidRPr="00A830E9">
        <w:rPr>
          <w:rFonts w:ascii="Calibri" w:hAnsi="Calibri" w:cs="Calibri"/>
          <w:vertAlign w:val="superscript"/>
        </w:rPr>
        <w:t>2</w:t>
      </w:r>
      <w:r w:rsidRPr="00A830E9">
        <w:rPr>
          <w:rFonts w:ascii="Calibri" w:hAnsi="Calibri" w:cs="Calibri"/>
        </w:rPr>
        <w:t xml:space="preserve"> warstwy odsączającej i/lub odcinającej z kruszywa obejmuje:</w:t>
      </w:r>
    </w:p>
    <w:p w14:paraId="5CF39208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prace pomiarowe,</w:t>
      </w:r>
    </w:p>
    <w:p w14:paraId="07361EFE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dostarczenie i rozłożenie na uprzednio przygotowanym podłożu warstwy materiału o grubości i jakości określonej w dokumentacji projektowej i specyfikacji technicznej,</w:t>
      </w:r>
    </w:p>
    <w:p w14:paraId="424FA0D5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wyrównanie ułożonej warstwy do wymaganego profilu,</w:t>
      </w:r>
    </w:p>
    <w:p w14:paraId="03D9EBD1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zagęszczenie wyprofilowanej warstwy,</w:t>
      </w:r>
    </w:p>
    <w:p w14:paraId="5A385BA2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przeprowadzenie pomiarów i badań laboratoryjnych wymaganych w specyfikacji technicznej,</w:t>
      </w:r>
    </w:p>
    <w:p w14:paraId="3F204439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utrzymanie warstwy.</w:t>
      </w:r>
    </w:p>
    <w:p w14:paraId="53E60789" w14:textId="77777777" w:rsidR="00073E71" w:rsidRPr="00A830E9" w:rsidRDefault="00073E71" w:rsidP="00827F3D">
      <w:pPr>
        <w:rPr>
          <w:rFonts w:ascii="Calibri" w:hAnsi="Calibri" w:cs="Calibri"/>
        </w:rPr>
      </w:pPr>
      <w:r w:rsidRPr="00A830E9">
        <w:rPr>
          <w:rFonts w:ascii="Calibri" w:hAnsi="Calibri" w:cs="Calibri"/>
        </w:rPr>
        <w:tab/>
        <w:t>Cena wykonania 1m</w:t>
      </w:r>
      <w:r w:rsidRPr="00A830E9">
        <w:rPr>
          <w:rFonts w:ascii="Calibri" w:hAnsi="Calibri" w:cs="Calibri"/>
          <w:vertAlign w:val="superscript"/>
        </w:rPr>
        <w:t>2</w:t>
      </w:r>
      <w:r w:rsidRPr="00A830E9">
        <w:rPr>
          <w:rFonts w:ascii="Calibri" w:hAnsi="Calibri" w:cs="Calibri"/>
        </w:rPr>
        <w:t xml:space="preserve"> warstwy odsączającej i/lub odcinającej z geowłóknin obejmuje:</w:t>
      </w:r>
    </w:p>
    <w:p w14:paraId="3ABC01E4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prace pomiarowe,</w:t>
      </w:r>
    </w:p>
    <w:p w14:paraId="59A1499D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dostarczenie i rozłożenie na uprzednio przygotowanym podłożu warstwy geowłóknin,</w:t>
      </w:r>
    </w:p>
    <w:p w14:paraId="1B91F84F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pomiary kontrolne wymagane w specyfikacji technicznej,</w:t>
      </w:r>
    </w:p>
    <w:p w14:paraId="49EFB43B" w14:textId="77777777" w:rsidR="00073E71" w:rsidRPr="00A830E9" w:rsidRDefault="00073E71" w:rsidP="00827F3D">
      <w:pPr>
        <w:numPr>
          <w:ilvl w:val="0"/>
          <w:numId w:val="1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utrzymanie warstwy.</w:t>
      </w:r>
    </w:p>
    <w:p w14:paraId="0BE22ADB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663" w:name="_Toc406913910"/>
      <w:bookmarkStart w:id="664" w:name="_Toc406914155"/>
      <w:bookmarkStart w:id="665" w:name="_Toc406914809"/>
      <w:bookmarkStart w:id="666" w:name="_Toc406914912"/>
      <w:bookmarkStart w:id="667" w:name="_Toc406915387"/>
      <w:bookmarkStart w:id="668" w:name="_Toc406984080"/>
      <w:bookmarkStart w:id="669" w:name="_Toc406984227"/>
      <w:bookmarkStart w:id="670" w:name="_Toc406984418"/>
      <w:bookmarkStart w:id="671" w:name="_Toc407069626"/>
      <w:bookmarkStart w:id="672" w:name="_Toc407081591"/>
      <w:bookmarkStart w:id="673" w:name="_Toc407081734"/>
      <w:bookmarkStart w:id="674" w:name="_Toc407083390"/>
      <w:bookmarkStart w:id="675" w:name="_Toc407084224"/>
      <w:bookmarkStart w:id="676" w:name="_Toc407085343"/>
      <w:bookmarkStart w:id="677" w:name="_Toc407085486"/>
      <w:bookmarkStart w:id="678" w:name="_Toc407085629"/>
      <w:bookmarkStart w:id="679" w:name="_Toc407086077"/>
      <w:r w:rsidRPr="00A830E9">
        <w:rPr>
          <w:rFonts w:ascii="Calibri" w:hAnsi="Calibri" w:cs="Calibri"/>
          <w:b/>
          <w:bCs/>
        </w:rPr>
        <w:t xml:space="preserve">10. </w:t>
      </w:r>
      <w:r w:rsidR="00081B50" w:rsidRPr="00A830E9">
        <w:rPr>
          <w:rFonts w:ascii="Calibri" w:hAnsi="Calibri" w:cs="Calibri"/>
          <w:b/>
          <w:bCs/>
        </w:rPr>
        <w:t>P</w:t>
      </w:r>
      <w:r w:rsidRPr="00A830E9">
        <w:rPr>
          <w:rFonts w:ascii="Calibri" w:hAnsi="Calibri" w:cs="Calibri"/>
          <w:b/>
          <w:bCs/>
        </w:rPr>
        <w:t>rzepisy związane</w:t>
      </w:r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</w:p>
    <w:p w14:paraId="7E92CADA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680" w:name="_Toc406913911"/>
      <w:bookmarkStart w:id="681" w:name="_Toc406914156"/>
      <w:bookmarkStart w:id="682" w:name="_Toc406914810"/>
      <w:bookmarkStart w:id="683" w:name="_Toc406914913"/>
      <w:bookmarkStart w:id="684" w:name="_Toc406915388"/>
      <w:bookmarkStart w:id="685" w:name="_Toc406984081"/>
      <w:bookmarkStart w:id="686" w:name="_Toc406984228"/>
      <w:bookmarkStart w:id="687" w:name="_Toc406984419"/>
      <w:bookmarkStart w:id="688" w:name="_Toc407069627"/>
      <w:bookmarkStart w:id="689" w:name="_Toc407081592"/>
      <w:bookmarkStart w:id="690" w:name="_Toc407081735"/>
      <w:bookmarkStart w:id="691" w:name="_Toc407083391"/>
      <w:bookmarkStart w:id="692" w:name="_Toc407084225"/>
      <w:bookmarkStart w:id="693" w:name="_Toc407085344"/>
      <w:bookmarkStart w:id="694" w:name="_Toc407085487"/>
      <w:bookmarkStart w:id="695" w:name="_Toc407085630"/>
      <w:bookmarkStart w:id="696" w:name="_Toc407086078"/>
      <w:r w:rsidRPr="00A830E9">
        <w:rPr>
          <w:rFonts w:ascii="Calibri" w:hAnsi="Calibri" w:cs="Calibri"/>
          <w:b/>
          <w:bCs/>
        </w:rPr>
        <w:t>10.1. Normy</w:t>
      </w:r>
      <w:bookmarkEnd w:id="680"/>
      <w:bookmarkEnd w:id="681"/>
      <w:bookmarkEnd w:id="682"/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  <w:bookmarkEnd w:id="694"/>
      <w:bookmarkEnd w:id="695"/>
      <w:bookmarkEnd w:id="696"/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984"/>
        <w:gridCol w:w="5030"/>
      </w:tblGrid>
      <w:tr w:rsidR="00073E71" w:rsidRPr="00A830E9" w14:paraId="022EBDC2" w14:textId="77777777">
        <w:tc>
          <w:tcPr>
            <w:tcW w:w="496" w:type="dxa"/>
          </w:tcPr>
          <w:p w14:paraId="607D0F58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1.</w:t>
            </w:r>
          </w:p>
        </w:tc>
        <w:tc>
          <w:tcPr>
            <w:tcW w:w="1984" w:type="dxa"/>
          </w:tcPr>
          <w:p w14:paraId="38C29071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PN-B-04481</w:t>
            </w:r>
          </w:p>
        </w:tc>
        <w:tc>
          <w:tcPr>
            <w:tcW w:w="5030" w:type="dxa"/>
          </w:tcPr>
          <w:p w14:paraId="1B2C00FE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Grunty budowlane. Badania próbek gruntu</w:t>
            </w:r>
          </w:p>
        </w:tc>
      </w:tr>
      <w:tr w:rsidR="00073E71" w:rsidRPr="00A830E9" w14:paraId="0273893B" w14:textId="77777777">
        <w:tc>
          <w:tcPr>
            <w:tcW w:w="496" w:type="dxa"/>
          </w:tcPr>
          <w:p w14:paraId="563278C4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2.</w:t>
            </w:r>
          </w:p>
        </w:tc>
        <w:tc>
          <w:tcPr>
            <w:tcW w:w="1984" w:type="dxa"/>
          </w:tcPr>
          <w:p w14:paraId="694FE75F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PN-B-06714-17</w:t>
            </w:r>
          </w:p>
        </w:tc>
        <w:tc>
          <w:tcPr>
            <w:tcW w:w="5030" w:type="dxa"/>
          </w:tcPr>
          <w:p w14:paraId="396C1522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Kruszywa mineralne. Badania. Oznaczanie wilgotności</w:t>
            </w:r>
          </w:p>
        </w:tc>
      </w:tr>
      <w:tr w:rsidR="00073E71" w:rsidRPr="00A830E9" w14:paraId="496AC4EC" w14:textId="77777777">
        <w:tc>
          <w:tcPr>
            <w:tcW w:w="496" w:type="dxa"/>
          </w:tcPr>
          <w:p w14:paraId="256441AD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3.</w:t>
            </w:r>
          </w:p>
        </w:tc>
        <w:tc>
          <w:tcPr>
            <w:tcW w:w="1984" w:type="dxa"/>
          </w:tcPr>
          <w:p w14:paraId="123847E5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PN-B-11111</w:t>
            </w:r>
          </w:p>
        </w:tc>
        <w:tc>
          <w:tcPr>
            <w:tcW w:w="5030" w:type="dxa"/>
          </w:tcPr>
          <w:p w14:paraId="142ACF98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Kruszywa mineralne. Kruszywo naturalne do nawierzchni drogowych . Żwir i mieszanka</w:t>
            </w:r>
          </w:p>
        </w:tc>
      </w:tr>
      <w:tr w:rsidR="00073E71" w:rsidRPr="00A830E9" w14:paraId="42538768" w14:textId="77777777">
        <w:tc>
          <w:tcPr>
            <w:tcW w:w="496" w:type="dxa"/>
          </w:tcPr>
          <w:p w14:paraId="20116F3F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4.</w:t>
            </w:r>
          </w:p>
        </w:tc>
        <w:tc>
          <w:tcPr>
            <w:tcW w:w="1984" w:type="dxa"/>
          </w:tcPr>
          <w:p w14:paraId="57E591BC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PN-B-11112</w:t>
            </w:r>
          </w:p>
        </w:tc>
        <w:tc>
          <w:tcPr>
            <w:tcW w:w="5030" w:type="dxa"/>
          </w:tcPr>
          <w:p w14:paraId="1D14CEF0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Kruszywa mineralne. Kruszywo łamane do nawierzchni drogowych</w:t>
            </w:r>
          </w:p>
        </w:tc>
      </w:tr>
      <w:tr w:rsidR="00073E71" w:rsidRPr="00A830E9" w14:paraId="0E1076B3" w14:textId="77777777">
        <w:tc>
          <w:tcPr>
            <w:tcW w:w="496" w:type="dxa"/>
          </w:tcPr>
          <w:p w14:paraId="197E7FCB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5.</w:t>
            </w:r>
          </w:p>
        </w:tc>
        <w:tc>
          <w:tcPr>
            <w:tcW w:w="1984" w:type="dxa"/>
          </w:tcPr>
          <w:p w14:paraId="24F94E83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PN-B-11113</w:t>
            </w:r>
          </w:p>
        </w:tc>
        <w:tc>
          <w:tcPr>
            <w:tcW w:w="5030" w:type="dxa"/>
          </w:tcPr>
          <w:p w14:paraId="0B45C12C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Kruszywa mineralne. Kruszywo naturalne do nawierzchni drogowych. Piasek</w:t>
            </w:r>
          </w:p>
        </w:tc>
      </w:tr>
      <w:tr w:rsidR="00073E71" w:rsidRPr="00A830E9" w14:paraId="7AE0E924" w14:textId="77777777">
        <w:tc>
          <w:tcPr>
            <w:tcW w:w="496" w:type="dxa"/>
          </w:tcPr>
          <w:p w14:paraId="28A66FF8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6.</w:t>
            </w:r>
          </w:p>
        </w:tc>
        <w:tc>
          <w:tcPr>
            <w:tcW w:w="1984" w:type="dxa"/>
          </w:tcPr>
          <w:p w14:paraId="142246C0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BN-64/8931-02</w:t>
            </w:r>
          </w:p>
        </w:tc>
        <w:tc>
          <w:tcPr>
            <w:tcW w:w="5030" w:type="dxa"/>
          </w:tcPr>
          <w:p w14:paraId="0200FC6F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Drogi samochodowe. Oznaczanie modułu odkształcenia nawierzchni podatnych i podłoża przez obciążenie płytą</w:t>
            </w:r>
          </w:p>
        </w:tc>
      </w:tr>
      <w:tr w:rsidR="00073E71" w:rsidRPr="00A830E9" w14:paraId="7B2FFA8B" w14:textId="77777777">
        <w:tc>
          <w:tcPr>
            <w:tcW w:w="496" w:type="dxa"/>
          </w:tcPr>
          <w:p w14:paraId="215CFA7A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7.</w:t>
            </w:r>
          </w:p>
        </w:tc>
        <w:tc>
          <w:tcPr>
            <w:tcW w:w="1984" w:type="dxa"/>
          </w:tcPr>
          <w:p w14:paraId="0701D033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BN-68/8931-04</w:t>
            </w:r>
          </w:p>
        </w:tc>
        <w:tc>
          <w:tcPr>
            <w:tcW w:w="5030" w:type="dxa"/>
          </w:tcPr>
          <w:p w14:paraId="6B9CD8A4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 xml:space="preserve">Drogi samochodowe. Pomiar równości nawierzchni </w:t>
            </w:r>
            <w:proofErr w:type="spellStart"/>
            <w:r w:rsidRPr="00A830E9">
              <w:rPr>
                <w:rFonts w:ascii="Calibri" w:hAnsi="Calibri" w:cs="Calibri"/>
              </w:rPr>
              <w:t>planografem</w:t>
            </w:r>
            <w:proofErr w:type="spellEnd"/>
            <w:r w:rsidRPr="00A830E9">
              <w:rPr>
                <w:rFonts w:ascii="Calibri" w:hAnsi="Calibri" w:cs="Calibri"/>
              </w:rPr>
              <w:t xml:space="preserve"> i łatą</w:t>
            </w:r>
          </w:p>
        </w:tc>
      </w:tr>
      <w:tr w:rsidR="00073E71" w:rsidRPr="00A830E9" w14:paraId="215F8014" w14:textId="77777777">
        <w:tc>
          <w:tcPr>
            <w:tcW w:w="496" w:type="dxa"/>
          </w:tcPr>
          <w:p w14:paraId="7AABA725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8.</w:t>
            </w:r>
          </w:p>
        </w:tc>
        <w:tc>
          <w:tcPr>
            <w:tcW w:w="1984" w:type="dxa"/>
          </w:tcPr>
          <w:p w14:paraId="26383200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BN-77/8931-12</w:t>
            </w:r>
          </w:p>
        </w:tc>
        <w:tc>
          <w:tcPr>
            <w:tcW w:w="5030" w:type="dxa"/>
          </w:tcPr>
          <w:p w14:paraId="54E2F1B5" w14:textId="77777777" w:rsidR="00073E71" w:rsidRPr="00A830E9" w:rsidRDefault="00073E71" w:rsidP="00827F3D">
            <w:pPr>
              <w:rPr>
                <w:rFonts w:ascii="Calibri" w:hAnsi="Calibri" w:cs="Calibri"/>
              </w:rPr>
            </w:pPr>
            <w:r w:rsidRPr="00A830E9">
              <w:rPr>
                <w:rFonts w:ascii="Calibri" w:hAnsi="Calibri" w:cs="Calibri"/>
              </w:rPr>
              <w:t>Oznaczanie wskaźnika zagęszczenia gruntu</w:t>
            </w:r>
          </w:p>
        </w:tc>
      </w:tr>
    </w:tbl>
    <w:p w14:paraId="67C13224" w14:textId="77777777" w:rsidR="00073E71" w:rsidRPr="00A830E9" w:rsidRDefault="00073E71" w:rsidP="00827F3D">
      <w:pPr>
        <w:rPr>
          <w:rFonts w:ascii="Calibri" w:hAnsi="Calibri" w:cs="Calibri"/>
          <w:b/>
          <w:bCs/>
        </w:rPr>
      </w:pPr>
      <w:bookmarkStart w:id="697" w:name="_Toc406913912"/>
      <w:bookmarkStart w:id="698" w:name="_Toc406914157"/>
      <w:bookmarkStart w:id="699" w:name="_Toc406914811"/>
      <w:bookmarkStart w:id="700" w:name="_Toc406914914"/>
      <w:bookmarkStart w:id="701" w:name="_Toc406915389"/>
      <w:bookmarkStart w:id="702" w:name="_Toc406984082"/>
      <w:bookmarkStart w:id="703" w:name="_Toc406984229"/>
      <w:bookmarkStart w:id="704" w:name="_Toc406984420"/>
      <w:bookmarkStart w:id="705" w:name="_Toc407069628"/>
      <w:bookmarkStart w:id="706" w:name="_Toc407081593"/>
      <w:bookmarkStart w:id="707" w:name="_Toc407081736"/>
      <w:bookmarkStart w:id="708" w:name="_Toc407083392"/>
      <w:bookmarkStart w:id="709" w:name="_Toc407084226"/>
      <w:bookmarkStart w:id="710" w:name="_Toc407085345"/>
      <w:bookmarkStart w:id="711" w:name="_Toc407085488"/>
      <w:bookmarkStart w:id="712" w:name="_Toc407085631"/>
      <w:bookmarkStart w:id="713" w:name="_Toc407086079"/>
      <w:r w:rsidRPr="00A830E9">
        <w:rPr>
          <w:rFonts w:ascii="Calibri" w:hAnsi="Calibri" w:cs="Calibri"/>
          <w:b/>
          <w:bCs/>
        </w:rPr>
        <w:t>10.2. Inne dokumenty</w:t>
      </w:r>
      <w:bookmarkEnd w:id="697"/>
      <w:bookmarkEnd w:id="698"/>
      <w:bookmarkEnd w:id="699"/>
      <w:bookmarkEnd w:id="700"/>
      <w:bookmarkEnd w:id="701"/>
      <w:bookmarkEnd w:id="702"/>
      <w:bookmarkEnd w:id="703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</w:p>
    <w:p w14:paraId="79AD75BA" w14:textId="77777777" w:rsidR="00073E71" w:rsidRPr="00A830E9" w:rsidRDefault="00073E71" w:rsidP="00827F3D">
      <w:pPr>
        <w:numPr>
          <w:ilvl w:val="0"/>
          <w:numId w:val="3"/>
        </w:numPr>
        <w:ind w:left="0" w:firstLine="0"/>
        <w:rPr>
          <w:rFonts w:ascii="Calibri" w:hAnsi="Calibri" w:cs="Calibri"/>
        </w:rPr>
      </w:pPr>
      <w:r w:rsidRPr="00A830E9">
        <w:rPr>
          <w:rFonts w:ascii="Calibri" w:hAnsi="Calibri" w:cs="Calibri"/>
        </w:rPr>
        <w:t>Wytyczne budowy nasypów komunikacyjnych na s</w:t>
      </w:r>
      <w:r w:rsidR="00B5464E">
        <w:rPr>
          <w:rFonts w:ascii="Calibri" w:hAnsi="Calibri" w:cs="Calibri"/>
        </w:rPr>
        <w:t xml:space="preserve">łabym podłożu z zastosowaniem </w:t>
      </w:r>
      <w:proofErr w:type="spellStart"/>
      <w:r w:rsidRPr="00A830E9">
        <w:rPr>
          <w:rFonts w:ascii="Calibri" w:hAnsi="Calibri" w:cs="Calibri"/>
        </w:rPr>
        <w:t>geotekstyliów</w:t>
      </w:r>
      <w:proofErr w:type="spellEnd"/>
      <w:r w:rsidRPr="00A830E9">
        <w:rPr>
          <w:rFonts w:ascii="Calibri" w:hAnsi="Calibri" w:cs="Calibri"/>
        </w:rPr>
        <w:t xml:space="preserve">, </w:t>
      </w:r>
      <w:proofErr w:type="spellStart"/>
      <w:r w:rsidRPr="00A830E9">
        <w:rPr>
          <w:rFonts w:ascii="Calibri" w:hAnsi="Calibri" w:cs="Calibri"/>
        </w:rPr>
        <w:t>IBDiM</w:t>
      </w:r>
      <w:proofErr w:type="spellEnd"/>
      <w:r w:rsidRPr="00A830E9">
        <w:rPr>
          <w:rFonts w:ascii="Calibri" w:hAnsi="Calibri" w:cs="Calibri"/>
        </w:rPr>
        <w:t>, Warszawa 1986.</w:t>
      </w:r>
    </w:p>
    <w:p w14:paraId="0E8A5AEE" w14:textId="77777777" w:rsidR="00073E71" w:rsidRPr="00A830E9" w:rsidRDefault="00073E71" w:rsidP="00827F3D">
      <w:pPr>
        <w:rPr>
          <w:rFonts w:ascii="Calibri" w:hAnsi="Calibri" w:cs="Calibri"/>
        </w:rPr>
      </w:pPr>
    </w:p>
    <w:p w14:paraId="6CCF27C3" w14:textId="77777777" w:rsidR="00073E71" w:rsidRPr="00A830E9" w:rsidRDefault="00073E71" w:rsidP="00827F3D">
      <w:pPr>
        <w:rPr>
          <w:rFonts w:ascii="Calibri" w:hAnsi="Calibri" w:cs="Calibri"/>
        </w:rPr>
      </w:pPr>
    </w:p>
    <w:p w14:paraId="623552BB" w14:textId="77777777" w:rsidR="0094105C" w:rsidRPr="00A830E9" w:rsidRDefault="0094105C" w:rsidP="00827F3D">
      <w:pPr>
        <w:rPr>
          <w:rFonts w:ascii="Calibri" w:hAnsi="Calibri" w:cs="Calibri"/>
        </w:rPr>
      </w:pPr>
      <w:bookmarkStart w:id="714" w:name="_Toc406984083"/>
      <w:bookmarkStart w:id="715" w:name="_Toc406984230"/>
      <w:bookmarkStart w:id="716" w:name="_Toc406984421"/>
      <w:bookmarkStart w:id="717" w:name="_Toc407069629"/>
      <w:bookmarkStart w:id="718" w:name="_Toc407081594"/>
      <w:bookmarkStart w:id="719" w:name="_Toc407081737"/>
      <w:bookmarkStart w:id="720" w:name="_Toc407084227"/>
      <w:bookmarkStart w:id="721" w:name="_Toc407085346"/>
      <w:bookmarkStart w:id="722" w:name="_Toc407085489"/>
      <w:bookmarkStart w:id="723" w:name="_Toc407085632"/>
      <w:bookmarkStart w:id="724" w:name="_Toc407086080"/>
      <w:bookmarkEnd w:id="714"/>
      <w:bookmarkEnd w:id="715"/>
      <w:bookmarkEnd w:id="716"/>
      <w:bookmarkEnd w:id="717"/>
      <w:bookmarkEnd w:id="718"/>
      <w:bookmarkEnd w:id="719"/>
      <w:bookmarkEnd w:id="720"/>
      <w:bookmarkEnd w:id="721"/>
      <w:bookmarkEnd w:id="722"/>
      <w:bookmarkEnd w:id="723"/>
      <w:bookmarkEnd w:id="724"/>
    </w:p>
    <w:sectPr w:rsidR="0094105C" w:rsidRPr="00A830E9" w:rsidSect="0094105C">
      <w:headerReference w:type="even" r:id="rId11"/>
      <w:footerReference w:type="default" r:id="rId12"/>
      <w:pgSz w:w="11907" w:h="16840" w:code="9"/>
      <w:pgMar w:top="1134" w:right="1134" w:bottom="993" w:left="1701" w:header="709" w:footer="709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EE3675" w14:textId="77777777" w:rsidR="007F4304" w:rsidRDefault="007F4304">
      <w:r>
        <w:separator/>
      </w:r>
    </w:p>
  </w:endnote>
  <w:endnote w:type="continuationSeparator" w:id="0">
    <w:p w14:paraId="733C379B" w14:textId="77777777" w:rsidR="007F4304" w:rsidRDefault="007F43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51024825-D4CD-4BE6-81BC-885C559D27FE}"/>
    <w:embedBold r:id="rId2" w:fontKey="{601E16D7-F884-4B90-886D-349E77812CA2}"/>
    <w:embedItalic r:id="rId3" w:fontKey="{53444BFF-D24D-48E2-B558-E0843579AB95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4" w:fontKey="{E74645C5-73C2-45DE-8847-3A24F545D520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5" w:fontKey="{1B999D42-68F5-420C-AF00-2A546D05B7D0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CE53A17E-FED5-4451-8251-9455F4E8D74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942A05" w14:textId="50415634" w:rsidR="0094105C" w:rsidRDefault="0094105C">
    <w:pPr>
      <w:pStyle w:val="Stopka"/>
      <w:jc w:val="right"/>
    </w:pPr>
  </w:p>
  <w:p w14:paraId="5A1CB477" w14:textId="1F93DA19" w:rsidR="0094105C" w:rsidRDefault="007B1E4E" w:rsidP="007B1E4E">
    <w:pPr>
      <w:pStyle w:val="Stopka"/>
      <w:jc w:val="center"/>
    </w:pPr>
    <w:r w:rsidRPr="00B06526">
      <w:rPr>
        <w:bCs/>
        <w:sz w:val="16"/>
      </w:rPr>
      <w:t>Przebudowa drogi powiatowej nr 1543N i 1541N na odcinku Kotowo-Morawa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120C02" w14:textId="77777777" w:rsidR="007F4304" w:rsidRDefault="007F4304">
      <w:r>
        <w:separator/>
      </w:r>
    </w:p>
  </w:footnote>
  <w:footnote w:type="continuationSeparator" w:id="0">
    <w:p w14:paraId="5341C11E" w14:textId="77777777" w:rsidR="007F4304" w:rsidRDefault="007F43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7983B5" w14:textId="77777777" w:rsidR="00073E71" w:rsidRDefault="00073E71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35"/>
      <w:gridCol w:w="4608"/>
      <w:gridCol w:w="2084"/>
    </w:tblGrid>
    <w:tr w:rsidR="00073E71" w14:paraId="5CAF6A25" w14:textId="77777777" w:rsidTr="0094105C">
      <w:trPr>
        <w:trHeight w:val="434"/>
      </w:trPr>
      <w:tc>
        <w:tcPr>
          <w:tcW w:w="935" w:type="dxa"/>
        </w:tcPr>
        <w:p w14:paraId="04BE9ACA" w14:textId="77777777" w:rsidR="00073E71" w:rsidRDefault="00073E71">
          <w:pPr>
            <w:pStyle w:val="Nagwek"/>
            <w:spacing w:after="120"/>
            <w:rPr>
              <w:rFonts w:ascii="Times New Roman" w:hAnsi="Times New Roman"/>
              <w:sz w:val="20"/>
            </w:rPr>
          </w:pPr>
        </w:p>
      </w:tc>
      <w:tc>
        <w:tcPr>
          <w:tcW w:w="4608" w:type="dxa"/>
        </w:tcPr>
        <w:p w14:paraId="1F44D74E" w14:textId="77777777" w:rsidR="00073E71" w:rsidRDefault="00073E71">
          <w:pPr>
            <w:pStyle w:val="Nagwek"/>
            <w:jc w:val="right"/>
            <w:rPr>
              <w:rFonts w:ascii="Times New Roman" w:hAnsi="Times New Roman"/>
              <w:sz w:val="20"/>
            </w:rPr>
          </w:pPr>
        </w:p>
      </w:tc>
      <w:tc>
        <w:tcPr>
          <w:tcW w:w="2084" w:type="dxa"/>
        </w:tcPr>
        <w:p w14:paraId="2F048D59" w14:textId="77777777" w:rsidR="00073E71" w:rsidRDefault="00073E71">
          <w:pPr>
            <w:pStyle w:val="Nagwek"/>
            <w:jc w:val="right"/>
            <w:rPr>
              <w:rFonts w:ascii="Times New Roman" w:hAnsi="Times New Roman"/>
              <w:sz w:val="20"/>
            </w:rPr>
          </w:pPr>
        </w:p>
      </w:tc>
    </w:tr>
    <w:tr w:rsidR="0094105C" w14:paraId="1084CF6B" w14:textId="77777777" w:rsidTr="0094105C">
      <w:trPr>
        <w:trHeight w:val="127"/>
      </w:trPr>
      <w:tc>
        <w:tcPr>
          <w:tcW w:w="935" w:type="dxa"/>
          <w:tcBorders>
            <w:bottom w:val="single" w:sz="6" w:space="0" w:color="auto"/>
          </w:tcBorders>
        </w:tcPr>
        <w:p w14:paraId="5087ECF9" w14:textId="77777777" w:rsidR="0094105C" w:rsidRDefault="0094105C">
          <w:pPr>
            <w:pStyle w:val="Nagwek"/>
            <w:spacing w:after="120"/>
            <w:rPr>
              <w:rFonts w:ascii="Times New Roman" w:hAnsi="Times New Roman"/>
              <w:sz w:val="20"/>
            </w:rPr>
          </w:pPr>
        </w:p>
      </w:tc>
      <w:tc>
        <w:tcPr>
          <w:tcW w:w="4608" w:type="dxa"/>
        </w:tcPr>
        <w:p w14:paraId="099AFD01" w14:textId="77777777" w:rsidR="0094105C" w:rsidRDefault="0094105C">
          <w:pPr>
            <w:pStyle w:val="Nagwek"/>
            <w:jc w:val="right"/>
            <w:rPr>
              <w:rFonts w:ascii="Times New Roman" w:hAnsi="Times New Roman"/>
              <w:sz w:val="20"/>
            </w:rPr>
          </w:pPr>
        </w:p>
      </w:tc>
      <w:tc>
        <w:tcPr>
          <w:tcW w:w="2084" w:type="dxa"/>
        </w:tcPr>
        <w:p w14:paraId="19E8BC19" w14:textId="77777777" w:rsidR="0094105C" w:rsidRDefault="0094105C">
          <w:pPr>
            <w:pStyle w:val="Nagwek"/>
            <w:jc w:val="right"/>
            <w:rPr>
              <w:rFonts w:ascii="Times New Roman" w:hAnsi="Times New Roman"/>
              <w:sz w:val="20"/>
            </w:rPr>
          </w:pPr>
        </w:p>
      </w:tc>
    </w:tr>
  </w:tbl>
  <w:p w14:paraId="52160886" w14:textId="77777777" w:rsidR="00073E71" w:rsidRDefault="00073E71">
    <w:pPr>
      <w:pStyle w:val="Nagwek"/>
      <w:rPr>
        <w:rFonts w:ascii="Times New Roman" w:hAnsi="Times New Roman"/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8BE45420"/>
    <w:lvl w:ilvl="0">
      <w:numFmt w:val="decimal"/>
      <w:lvlText w:val="*"/>
      <w:lvlJc w:val="left"/>
    </w:lvl>
  </w:abstractNum>
  <w:abstractNum w:abstractNumId="1" w15:restartNumberingAfterBreak="0">
    <w:nsid w:val="0F1D754C"/>
    <w:multiLevelType w:val="singleLevel"/>
    <w:tmpl w:val="8B42EEBA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2" w15:restartNumberingAfterBreak="0">
    <w:nsid w:val="6D756C40"/>
    <w:multiLevelType w:val="singleLevel"/>
    <w:tmpl w:val="6860B2C0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abstractNum w:abstractNumId="3" w15:restartNumberingAfterBreak="0">
    <w:nsid w:val="723A7496"/>
    <w:multiLevelType w:val="singleLevel"/>
    <w:tmpl w:val="C82E0A64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 w16cid:durableId="955864518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 w16cid:durableId="136460077">
    <w:abstractNumId w:val="3"/>
  </w:num>
  <w:num w:numId="3" w16cid:durableId="2131896230">
    <w:abstractNumId w:val="1"/>
  </w:num>
  <w:num w:numId="4" w16cid:durableId="32054706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attachedTemplate r:id="rId1"/>
  <w:doNotTrackMoves/>
  <w:defaultTabStop w:val="709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94105C"/>
    <w:rsid w:val="00073E71"/>
    <w:rsid w:val="00081B50"/>
    <w:rsid w:val="002118C8"/>
    <w:rsid w:val="00223A8E"/>
    <w:rsid w:val="002A28E7"/>
    <w:rsid w:val="003C3B61"/>
    <w:rsid w:val="004B2BFD"/>
    <w:rsid w:val="007B1E4E"/>
    <w:rsid w:val="007F3C92"/>
    <w:rsid w:val="007F4304"/>
    <w:rsid w:val="00827F3D"/>
    <w:rsid w:val="00837F5B"/>
    <w:rsid w:val="009203B3"/>
    <w:rsid w:val="009241BF"/>
    <w:rsid w:val="0094105C"/>
    <w:rsid w:val="00A12D92"/>
    <w:rsid w:val="00A830E9"/>
    <w:rsid w:val="00B47CFE"/>
    <w:rsid w:val="00B5464E"/>
    <w:rsid w:val="00BD68E8"/>
    <w:rsid w:val="00C360B7"/>
    <w:rsid w:val="00C651C2"/>
    <w:rsid w:val="00E24FCD"/>
    <w:rsid w:val="00E575BC"/>
    <w:rsid w:val="00ED2B0D"/>
    <w:rsid w:val="00EE46D1"/>
    <w:rsid w:val="00F26B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CAC3CDE"/>
  <w15:docId w15:val="{12FB3035-8B6E-4A21-846A-922DC69C0F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94105C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autoRedefine/>
    <w:qFormat/>
    <w:rsid w:val="002A28E7"/>
    <w:pPr>
      <w:keepNext/>
      <w:keepLines/>
      <w:suppressAutoHyphens/>
      <w:spacing w:before="240" w:after="120"/>
      <w:outlineLvl w:val="0"/>
    </w:pPr>
    <w:rPr>
      <w:rFonts w:ascii="Calibri" w:hAnsi="Calibri" w:cs="Calibri"/>
      <w:b/>
      <w:caps/>
      <w:kern w:val="28"/>
    </w:rPr>
  </w:style>
  <w:style w:type="paragraph" w:styleId="Nagwek2">
    <w:name w:val="heading 2"/>
    <w:basedOn w:val="Normalny"/>
    <w:next w:val="Normalny"/>
    <w:qFormat/>
    <w:rsid w:val="00837F5B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837F5B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837F5B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837F5B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837F5B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837F5B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837F5B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837F5B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837F5B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837F5B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837F5B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837F5B"/>
  </w:style>
  <w:style w:type="paragraph" w:customStyle="1" w:styleId="StylIwony">
    <w:name w:val="Styl Iwony"/>
    <w:basedOn w:val="Normalny"/>
    <w:rsid w:val="00837F5B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837F5B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837F5B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837F5B"/>
  </w:style>
  <w:style w:type="paragraph" w:customStyle="1" w:styleId="tekstost">
    <w:name w:val="tekst ost"/>
    <w:basedOn w:val="Normalny"/>
    <w:rsid w:val="00837F5B"/>
  </w:style>
  <w:style w:type="character" w:styleId="Odwoanieprzypisudolnego">
    <w:name w:val="footnote reference"/>
    <w:semiHidden/>
    <w:rsid w:val="00837F5B"/>
    <w:rPr>
      <w:vertAlign w:val="superscript"/>
    </w:rPr>
  </w:style>
  <w:style w:type="paragraph" w:customStyle="1" w:styleId="Standardowytekst">
    <w:name w:val="Standardowy.tekst"/>
    <w:rsid w:val="00837F5B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customStyle="1" w:styleId="StopkaZnak">
    <w:name w:val="Stopka Znak"/>
    <w:basedOn w:val="Domylnaczcionkaakapitu"/>
    <w:link w:val="Stopka"/>
    <w:uiPriority w:val="99"/>
    <w:rsid w:val="0094105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oje%20dokumenty\OST_2_6\ostdoc\Podbudowy\d040101_040301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d040101_040301.dot</Template>
  <TotalTime>4</TotalTime>
  <Pages>5</Pages>
  <Words>2532</Words>
  <Characters>15194</Characters>
  <Application>Microsoft Office Word</Application>
  <DocSecurity>0</DocSecurity>
  <Lines>126</Lines>
  <Paragraphs>35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D-04.01.01:04.03.01</vt:lpstr>
    </vt:vector>
  </TitlesOfParts>
  <Company/>
  <LinksUpToDate>false</LinksUpToDate>
  <CharactersWithSpaces>17691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...</dc:creator>
  <cp:keywords>specyfikacje, drogi, drogownictwo</cp:keywords>
  <dc:description>Dolne warstwy podbudów oraz oczyszczenie_x000d_
i skropienie_x000d_
</dc:description>
  <cp:lastModifiedBy>ZDP Lidzbark Warmiński</cp:lastModifiedBy>
  <cp:revision>6</cp:revision>
  <cp:lastPrinted>1998-07-07T08:56:00Z</cp:lastPrinted>
  <dcterms:created xsi:type="dcterms:W3CDTF">2021-09-28T20:17:00Z</dcterms:created>
  <dcterms:modified xsi:type="dcterms:W3CDTF">2025-03-25T13:28:00Z</dcterms:modified>
</cp:coreProperties>
</file>