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313" w14:textId="77777777" w:rsidR="00482A7B" w:rsidRDefault="00E06956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referencyjny postępowania:</w:t>
      </w:r>
    </w:p>
    <w:p w14:paraId="60716060" w14:textId="2423CEDF" w:rsidR="00482A7B" w:rsidRDefault="00E06956">
      <w:pPr>
        <w:spacing w:line="276" w:lineRule="auto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ZP.272.</w:t>
      </w:r>
      <w:r w:rsidR="005A1C2B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.202</w:t>
      </w:r>
      <w:r w:rsidR="005A1C2B">
        <w:rPr>
          <w:rFonts w:ascii="Arial" w:hAnsi="Arial" w:cs="Arial"/>
          <w:b/>
          <w:sz w:val="20"/>
          <w:szCs w:val="20"/>
        </w:rPr>
        <w:t>5</w:t>
      </w:r>
    </w:p>
    <w:p w14:paraId="788B1FDC" w14:textId="5590CBE6" w:rsidR="00482A7B" w:rsidRDefault="00E0695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Pruszków,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1EEB">
        <w:rPr>
          <w:rFonts w:ascii="Arial" w:hAnsi="Arial" w:cs="Arial"/>
          <w:b/>
          <w:sz w:val="20"/>
          <w:szCs w:val="20"/>
        </w:rPr>
        <w:t>19</w:t>
      </w:r>
      <w:r w:rsidR="005A1C2B">
        <w:rPr>
          <w:rFonts w:ascii="Arial" w:hAnsi="Arial" w:cs="Arial"/>
          <w:b/>
          <w:sz w:val="20"/>
          <w:szCs w:val="20"/>
        </w:rPr>
        <w:t xml:space="preserve"> maja 2025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0C5224B9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465792F7" w14:textId="77777777" w:rsidR="00482A7B" w:rsidRDefault="00E06956">
      <w:pPr>
        <w:spacing w:line="276" w:lineRule="auto"/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Wszyscy Wykonawcy ubiegający się </w:t>
      </w:r>
      <w:r>
        <w:rPr>
          <w:rFonts w:ascii="Arial" w:hAnsi="Arial" w:cs="Arial"/>
          <w:b/>
          <w:sz w:val="20"/>
          <w:szCs w:val="20"/>
          <w:u w:val="single"/>
        </w:rPr>
        <w:br/>
        <w:t>o udzielenie zamówienia publicznego</w:t>
      </w:r>
    </w:p>
    <w:p w14:paraId="28ADEBB1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37B699" w14:textId="7467D07E" w:rsidR="00482A7B" w:rsidRPr="002C1B89" w:rsidRDefault="00E06956" w:rsidP="008A73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postępowania o udzielenie zamówienia prowadzonego zgodnie z przepisami ustawy z dnia 11 września 2019 r. Prawo zamówień publicznych (Dz.U. z </w:t>
      </w:r>
      <w:r w:rsidR="005A1C2B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5A1C2B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w trybie podstawowym bez negocjacji, na zadanie pod nazwą: </w:t>
      </w:r>
      <w:r>
        <w:rPr>
          <w:rFonts w:ascii="Arial" w:hAnsi="Arial" w:cs="Arial"/>
          <w:b/>
          <w:sz w:val="20"/>
          <w:szCs w:val="20"/>
        </w:rPr>
        <w:t>„</w:t>
      </w:r>
      <w:r w:rsidR="005E1FF6" w:rsidRPr="005E1FF6">
        <w:rPr>
          <w:rFonts w:ascii="Arial" w:hAnsi="Arial" w:cs="Arial"/>
          <w:b/>
          <w:sz w:val="20"/>
          <w:szCs w:val="20"/>
        </w:rPr>
        <w:t>Dostawa odczynników wraz z dzierżawą sprzętu</w:t>
      </w:r>
      <w:r w:rsidR="00575E22">
        <w:rPr>
          <w:rFonts w:ascii="Arial" w:hAnsi="Arial" w:cs="Arial"/>
          <w:b/>
          <w:sz w:val="20"/>
          <w:szCs w:val="20"/>
        </w:rPr>
        <w:t>”.</w:t>
      </w:r>
    </w:p>
    <w:p w14:paraId="7B64E87D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69380C9A" w14:textId="7B83C5CB" w:rsidR="00482A7B" w:rsidRDefault="00E0695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 xml:space="preserve">Odpowiedź na pytania w sprawie SWZ nr </w:t>
      </w:r>
      <w:r w:rsidR="002A151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1</w:t>
      </w:r>
    </w:p>
    <w:p w14:paraId="26486044" w14:textId="77777777" w:rsidR="00482A7B" w:rsidRDefault="00482A7B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14:paraId="778AF7E3" w14:textId="4BA702CC" w:rsidR="00482A7B" w:rsidRPr="00F50550" w:rsidRDefault="00E06956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Działając na podstawie art. 284 ust. 6 ustawy z dnia 11 września 2019 r. – Prawo zamówień publicznych (</w:t>
      </w:r>
      <w:r>
        <w:rPr>
          <w:rFonts w:ascii="Arial" w:hAnsi="Arial" w:cs="Arial"/>
          <w:sz w:val="20"/>
          <w:szCs w:val="20"/>
        </w:rPr>
        <w:t>Dz.U.</w:t>
      </w:r>
      <w:r w:rsidR="00036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="00AE1D10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AE1D10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>),</w:t>
      </w:r>
      <w:r w:rsidR="00AE1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zwanej dalej </w:t>
      </w:r>
      <w:r>
        <w:rPr>
          <w:rFonts w:ascii="Arial" w:hAnsi="Arial" w:cs="Arial"/>
          <w:i/>
          <w:sz w:val="20"/>
          <w:szCs w:val="20"/>
        </w:rPr>
        <w:t>„</w:t>
      </w:r>
      <w:r w:rsidR="00F26409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stawą Pzp.”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Zamawiający informuje, że w przedmiotowym postępowaniu wpłynęły wnioski o wyjaśnienie treści Specyfikacji Warunków Zamówienia – zwanej dalej 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„SWZ”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 Zamawiający niniejszym udziela odpowiedzi na zadane pytanie:</w:t>
      </w:r>
    </w:p>
    <w:p w14:paraId="1C1842E3" w14:textId="69CACA24" w:rsidR="00F50550" w:rsidRDefault="00F5055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0DAAA815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1:</w:t>
      </w:r>
    </w:p>
    <w:p w14:paraId="66FED9E9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1 – poz. 2</w:t>
      </w:r>
    </w:p>
    <w:p w14:paraId="59FAA6E5" w14:textId="110EA934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analizator, który wykonuje 500 oznaczeń na godzinę?</w:t>
      </w:r>
    </w:p>
    <w:p w14:paraId="0BD36758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FE18491" w14:textId="0733B64B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09A7A5AA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F8B2F50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2:</w:t>
      </w:r>
    </w:p>
    <w:p w14:paraId="19A317FC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1 – poz. 5</w:t>
      </w:r>
    </w:p>
    <w:p w14:paraId="20DBE535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analizator bez paska standardowego wielokrotnego użytku na wyposażeniu (do kontroli układu optycznego)?</w:t>
      </w:r>
    </w:p>
    <w:p w14:paraId="03323B14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2EF4E0BF" w14:textId="447DBCC0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Odpowiedź Zamawiającego: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nie wyraża zgody.</w:t>
      </w:r>
    </w:p>
    <w:p w14:paraId="035EC599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65CF39A0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3:</w:t>
      </w:r>
    </w:p>
    <w:p w14:paraId="59E28E0F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1 – poz. 14</w:t>
      </w:r>
    </w:p>
    <w:p w14:paraId="6370B49B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analizator z pamięcią 2000 wyników pacjentów?</w:t>
      </w:r>
    </w:p>
    <w:p w14:paraId="5FC43928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5CD925F" w14:textId="71070948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6A752E36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2C7AB672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4:</w:t>
      </w:r>
    </w:p>
    <w:p w14:paraId="7AB5EB4F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1 – poz. 20</w:t>
      </w:r>
    </w:p>
    <w:p w14:paraId="301122DF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analizator bez możliwości podłączenia dodatkowej klawiatury zewnętrznej?</w:t>
      </w:r>
    </w:p>
    <w:p w14:paraId="53AD813C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1C739184" w14:textId="008E1062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18A239E4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22939781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5:</w:t>
      </w:r>
    </w:p>
    <w:p w14:paraId="1327E1C5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2 – poz. 1</w:t>
      </w:r>
    </w:p>
    <w:p w14:paraId="7C0CF4FD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kontrolę zewnętrzną INSTAND?</w:t>
      </w:r>
    </w:p>
    <w:p w14:paraId="3ABA9FC9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6E2DE5D3" w14:textId="4F377820" w:rsidR="00B57A7B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0CCAAFBC" w14:textId="77777777" w:rsidR="00B57A7B" w:rsidRPr="00DE450E" w:rsidRDefault="00B57A7B" w:rsidP="000B015A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color w:val="FF0000"/>
          <w:spacing w:val="1"/>
          <w:sz w:val="20"/>
          <w:szCs w:val="20"/>
          <w:lang w:eastAsia="pl-PL"/>
        </w:rPr>
      </w:pPr>
    </w:p>
    <w:p w14:paraId="47121FA4" w14:textId="77777777" w:rsidR="00490402" w:rsidRDefault="00490402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2EC66F42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D28D480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0C0A644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1D54A0AF" w14:textId="77777777" w:rsidR="00490402" w:rsidRPr="00051864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525B3" w14:textId="77777777" w:rsidR="00490402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  <w:r w:rsidRPr="004B7F96">
        <w:rPr>
          <w:rFonts w:ascii="Arial" w:hAnsi="Arial" w:cs="Arial"/>
          <w:bCs/>
          <w:iCs/>
          <w:spacing w:val="1"/>
          <w:sz w:val="20"/>
          <w:szCs w:val="20"/>
        </w:rPr>
        <w:t xml:space="preserve">Niniejszy dokument stanowi integralną część SWZ i jest wiążący dla wszystkich Wykonawców ubiegających się o udzielenie przedmiotowego Zamówienia. </w:t>
      </w:r>
    </w:p>
    <w:p w14:paraId="4DA56E06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5E7AAC0D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08C2DF16" w14:textId="77777777" w:rsidR="000B015A" w:rsidRDefault="000B015A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6B5F49E9" w14:textId="4F459EF1" w:rsidR="00482A7B" w:rsidRDefault="00482A7B">
      <w:pPr>
        <w:shd w:val="clear" w:color="auto" w:fill="FFFFFF"/>
        <w:spacing w:line="276" w:lineRule="auto"/>
        <w:jc w:val="both"/>
      </w:pPr>
    </w:p>
    <w:sectPr w:rsidR="00482A7B">
      <w:headerReference w:type="default" r:id="rId8"/>
      <w:footerReference w:type="default" r:id="rId9"/>
      <w:pgSz w:w="11906" w:h="16838"/>
      <w:pgMar w:top="1417" w:right="1417" w:bottom="1478" w:left="1417" w:header="1077" w:footer="29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20C2" w14:textId="77777777" w:rsidR="00534E6B" w:rsidRDefault="00534E6B">
      <w:r>
        <w:separator/>
      </w:r>
    </w:p>
  </w:endnote>
  <w:endnote w:type="continuationSeparator" w:id="0">
    <w:p w14:paraId="0E7592F8" w14:textId="77777777" w:rsidR="00534E6B" w:rsidRDefault="005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68F4" w14:textId="77777777" w:rsidR="00482A7B" w:rsidRDefault="00482A7B">
    <w:pPr>
      <w:pStyle w:val="Akapitzlist"/>
      <w:spacing w:after="26"/>
      <w:ind w:left="0"/>
      <w:jc w:val="right"/>
      <w:rPr>
        <w:rFonts w:ascii="Open Sans" w:hAnsi="Open Sans" w:cs="Open Sans"/>
        <w:b/>
        <w:sz w:val="12"/>
        <w:szCs w:val="12"/>
      </w:rPr>
    </w:pPr>
  </w:p>
  <w:p w14:paraId="3C940A78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b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</w:p>
  <w:p w14:paraId="16626F6C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</w:p>
  <w:p w14:paraId="595933D6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A928" w14:textId="77777777" w:rsidR="00534E6B" w:rsidRDefault="00534E6B">
      <w:r>
        <w:separator/>
      </w:r>
    </w:p>
  </w:footnote>
  <w:footnote w:type="continuationSeparator" w:id="0">
    <w:p w14:paraId="2E16A506" w14:textId="77777777" w:rsidR="00534E6B" w:rsidRDefault="0053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631" w14:textId="77777777" w:rsidR="00482A7B" w:rsidRDefault="00E06956">
    <w:pPr>
      <w:pStyle w:val="Nagwek"/>
      <w:tabs>
        <w:tab w:val="clear" w:pos="4536"/>
        <w:tab w:val="clear" w:pos="9072"/>
        <w:tab w:val="left" w:pos="5025"/>
      </w:tabs>
    </w:pPr>
    <w:r>
      <w:rPr>
        <w:noProof/>
      </w:rPr>
      <mc:AlternateContent>
        <mc:Choice Requires="wps">
          <w:drawing>
            <wp:anchor distT="0" distB="1" distL="0" distR="3" simplePos="0" relativeHeight="25" behindDoc="1" locked="0" layoutInCell="1" allowOverlap="1" wp14:anchorId="416FA316" wp14:editId="72D05A0E">
              <wp:simplePos x="0" y="0"/>
              <wp:positionH relativeFrom="column">
                <wp:posOffset>-462915</wp:posOffset>
              </wp:positionH>
              <wp:positionV relativeFrom="paragraph">
                <wp:posOffset>209550</wp:posOffset>
              </wp:positionV>
              <wp:extent cx="6641465" cy="2540"/>
              <wp:effectExtent l="0" t="0" r="27302" b="36829"/>
              <wp:wrapNone/>
              <wp:docPr id="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09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114300" distR="114300" simplePos="0" relativeHeight="13" behindDoc="1" locked="0" layoutInCell="1" allowOverlap="1" wp14:anchorId="3E1BCDD6" wp14:editId="4BB4633B">
          <wp:simplePos x="0" y="0"/>
          <wp:positionH relativeFrom="column">
            <wp:posOffset>4048125</wp:posOffset>
          </wp:positionH>
          <wp:positionV relativeFrom="paragraph">
            <wp:posOffset>-428625</wp:posOffset>
          </wp:positionV>
          <wp:extent cx="1558290" cy="481965"/>
          <wp:effectExtent l="0" t="0" r="0" b="0"/>
          <wp:wrapSquare wrapText="bothSides"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879F2" w14:textId="77777777" w:rsidR="00482A7B" w:rsidRDefault="00E0695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1" allowOverlap="1" wp14:anchorId="624FBC20" wp14:editId="27F114D5">
              <wp:simplePos x="0" y="0"/>
              <wp:positionH relativeFrom="column">
                <wp:posOffset>-471805</wp:posOffset>
              </wp:positionH>
              <wp:positionV relativeFrom="paragraph">
                <wp:posOffset>8890635</wp:posOffset>
              </wp:positionV>
              <wp:extent cx="6620510" cy="1905"/>
              <wp:effectExtent l="0" t="0" r="1016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0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0AD7"/>
    <w:multiLevelType w:val="hybridMultilevel"/>
    <w:tmpl w:val="7C9E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F0D"/>
    <w:multiLevelType w:val="hybridMultilevel"/>
    <w:tmpl w:val="F0885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A3CCF"/>
    <w:multiLevelType w:val="hybridMultilevel"/>
    <w:tmpl w:val="D570A888"/>
    <w:lvl w:ilvl="0" w:tplc="44AE4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86E12"/>
    <w:multiLevelType w:val="hybridMultilevel"/>
    <w:tmpl w:val="64C68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10E8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563626">
    <w:abstractNumId w:val="0"/>
  </w:num>
  <w:num w:numId="2" w16cid:durableId="1569657909">
    <w:abstractNumId w:val="2"/>
  </w:num>
  <w:num w:numId="3" w16cid:durableId="847212058">
    <w:abstractNumId w:val="1"/>
  </w:num>
  <w:num w:numId="4" w16cid:durableId="1659914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7B"/>
    <w:rsid w:val="00001819"/>
    <w:rsid w:val="000057AC"/>
    <w:rsid w:val="000138EC"/>
    <w:rsid w:val="00013DB8"/>
    <w:rsid w:val="00032B2C"/>
    <w:rsid w:val="000332DB"/>
    <w:rsid w:val="000360B7"/>
    <w:rsid w:val="00044FEA"/>
    <w:rsid w:val="00057A99"/>
    <w:rsid w:val="00064BAD"/>
    <w:rsid w:val="00065A41"/>
    <w:rsid w:val="00070108"/>
    <w:rsid w:val="0008797C"/>
    <w:rsid w:val="000A0137"/>
    <w:rsid w:val="000B015A"/>
    <w:rsid w:val="000B0AEC"/>
    <w:rsid w:val="000C3D66"/>
    <w:rsid w:val="000C423F"/>
    <w:rsid w:val="000D3701"/>
    <w:rsid w:val="0010353F"/>
    <w:rsid w:val="00106A74"/>
    <w:rsid w:val="00115A50"/>
    <w:rsid w:val="00124198"/>
    <w:rsid w:val="001262AB"/>
    <w:rsid w:val="00145000"/>
    <w:rsid w:val="00154076"/>
    <w:rsid w:val="00156C34"/>
    <w:rsid w:val="00182353"/>
    <w:rsid w:val="0018373A"/>
    <w:rsid w:val="00184348"/>
    <w:rsid w:val="00187396"/>
    <w:rsid w:val="001874D5"/>
    <w:rsid w:val="001F0A93"/>
    <w:rsid w:val="001F5ADE"/>
    <w:rsid w:val="001F705D"/>
    <w:rsid w:val="00205196"/>
    <w:rsid w:val="00206E6A"/>
    <w:rsid w:val="00221C16"/>
    <w:rsid w:val="00232EDB"/>
    <w:rsid w:val="00233402"/>
    <w:rsid w:val="0023476F"/>
    <w:rsid w:val="0024234C"/>
    <w:rsid w:val="0025181C"/>
    <w:rsid w:val="002541B0"/>
    <w:rsid w:val="00257DCE"/>
    <w:rsid w:val="00260767"/>
    <w:rsid w:val="00273FD7"/>
    <w:rsid w:val="00292951"/>
    <w:rsid w:val="002A0C2C"/>
    <w:rsid w:val="002A1518"/>
    <w:rsid w:val="002A6040"/>
    <w:rsid w:val="002B35EE"/>
    <w:rsid w:val="002B5AF9"/>
    <w:rsid w:val="002C1B89"/>
    <w:rsid w:val="002C7F98"/>
    <w:rsid w:val="002F20A2"/>
    <w:rsid w:val="002F7DDA"/>
    <w:rsid w:val="00326E58"/>
    <w:rsid w:val="00330652"/>
    <w:rsid w:val="0033328C"/>
    <w:rsid w:val="00334312"/>
    <w:rsid w:val="00336E08"/>
    <w:rsid w:val="0034434E"/>
    <w:rsid w:val="00364E15"/>
    <w:rsid w:val="00367B5E"/>
    <w:rsid w:val="00371EFA"/>
    <w:rsid w:val="00374644"/>
    <w:rsid w:val="00375030"/>
    <w:rsid w:val="00384798"/>
    <w:rsid w:val="00394C2D"/>
    <w:rsid w:val="003C5086"/>
    <w:rsid w:val="003D5EE5"/>
    <w:rsid w:val="003D6336"/>
    <w:rsid w:val="003E18A1"/>
    <w:rsid w:val="003F5049"/>
    <w:rsid w:val="00404727"/>
    <w:rsid w:val="00404AB9"/>
    <w:rsid w:val="0046103D"/>
    <w:rsid w:val="00462F63"/>
    <w:rsid w:val="0047162E"/>
    <w:rsid w:val="00477615"/>
    <w:rsid w:val="00482A7B"/>
    <w:rsid w:val="00484AD0"/>
    <w:rsid w:val="00490402"/>
    <w:rsid w:val="004926A9"/>
    <w:rsid w:val="00492BB2"/>
    <w:rsid w:val="004B1E87"/>
    <w:rsid w:val="004C329C"/>
    <w:rsid w:val="004C515A"/>
    <w:rsid w:val="004D277C"/>
    <w:rsid w:val="004D50DC"/>
    <w:rsid w:val="004E6BB6"/>
    <w:rsid w:val="004F1566"/>
    <w:rsid w:val="005127EB"/>
    <w:rsid w:val="00534E6B"/>
    <w:rsid w:val="00535F26"/>
    <w:rsid w:val="00555B48"/>
    <w:rsid w:val="005674E6"/>
    <w:rsid w:val="005705CB"/>
    <w:rsid w:val="0057187B"/>
    <w:rsid w:val="00571A56"/>
    <w:rsid w:val="00575E22"/>
    <w:rsid w:val="00582216"/>
    <w:rsid w:val="005940EC"/>
    <w:rsid w:val="005A1C2B"/>
    <w:rsid w:val="005A5564"/>
    <w:rsid w:val="005A6B9F"/>
    <w:rsid w:val="005B6C74"/>
    <w:rsid w:val="005C0759"/>
    <w:rsid w:val="005C79EF"/>
    <w:rsid w:val="005D3AFB"/>
    <w:rsid w:val="005D6AC4"/>
    <w:rsid w:val="005E1FF6"/>
    <w:rsid w:val="005E66BF"/>
    <w:rsid w:val="005F48C1"/>
    <w:rsid w:val="006021BE"/>
    <w:rsid w:val="00606B46"/>
    <w:rsid w:val="006350A8"/>
    <w:rsid w:val="00651884"/>
    <w:rsid w:val="00654270"/>
    <w:rsid w:val="0065573A"/>
    <w:rsid w:val="0066525F"/>
    <w:rsid w:val="0066687F"/>
    <w:rsid w:val="00675ED6"/>
    <w:rsid w:val="00685625"/>
    <w:rsid w:val="0068598F"/>
    <w:rsid w:val="00685C91"/>
    <w:rsid w:val="0069093F"/>
    <w:rsid w:val="006917E0"/>
    <w:rsid w:val="00696251"/>
    <w:rsid w:val="006B7588"/>
    <w:rsid w:val="006C27A0"/>
    <w:rsid w:val="006D74F3"/>
    <w:rsid w:val="006E4F86"/>
    <w:rsid w:val="006F0093"/>
    <w:rsid w:val="00716222"/>
    <w:rsid w:val="007169C5"/>
    <w:rsid w:val="007237FE"/>
    <w:rsid w:val="0073063C"/>
    <w:rsid w:val="00734391"/>
    <w:rsid w:val="0075175F"/>
    <w:rsid w:val="00795BBC"/>
    <w:rsid w:val="007A56A1"/>
    <w:rsid w:val="007C4BE1"/>
    <w:rsid w:val="007E5136"/>
    <w:rsid w:val="007F4DA2"/>
    <w:rsid w:val="008018E4"/>
    <w:rsid w:val="008114C1"/>
    <w:rsid w:val="00823294"/>
    <w:rsid w:val="00823983"/>
    <w:rsid w:val="0082606C"/>
    <w:rsid w:val="00836986"/>
    <w:rsid w:val="00840482"/>
    <w:rsid w:val="00850891"/>
    <w:rsid w:val="008534D2"/>
    <w:rsid w:val="00857B81"/>
    <w:rsid w:val="00866517"/>
    <w:rsid w:val="008666CF"/>
    <w:rsid w:val="008750F6"/>
    <w:rsid w:val="0088014B"/>
    <w:rsid w:val="00881C57"/>
    <w:rsid w:val="008A4C29"/>
    <w:rsid w:val="008A7346"/>
    <w:rsid w:val="008B42C7"/>
    <w:rsid w:val="008B56DE"/>
    <w:rsid w:val="008D3AAA"/>
    <w:rsid w:val="008E6CB0"/>
    <w:rsid w:val="008F3D38"/>
    <w:rsid w:val="008F4491"/>
    <w:rsid w:val="008F7C39"/>
    <w:rsid w:val="0095158A"/>
    <w:rsid w:val="00971EEB"/>
    <w:rsid w:val="00981A14"/>
    <w:rsid w:val="009A26E5"/>
    <w:rsid w:val="009B049B"/>
    <w:rsid w:val="009B12BB"/>
    <w:rsid w:val="009D5689"/>
    <w:rsid w:val="009D74BA"/>
    <w:rsid w:val="009F3A80"/>
    <w:rsid w:val="00A0260F"/>
    <w:rsid w:val="00A07DDA"/>
    <w:rsid w:val="00A10206"/>
    <w:rsid w:val="00A14C84"/>
    <w:rsid w:val="00A24FCA"/>
    <w:rsid w:val="00A250EA"/>
    <w:rsid w:val="00A37984"/>
    <w:rsid w:val="00A5427D"/>
    <w:rsid w:val="00A63829"/>
    <w:rsid w:val="00A77A90"/>
    <w:rsid w:val="00A82926"/>
    <w:rsid w:val="00A855E0"/>
    <w:rsid w:val="00AB3244"/>
    <w:rsid w:val="00AB3E07"/>
    <w:rsid w:val="00AE01F6"/>
    <w:rsid w:val="00AE1D10"/>
    <w:rsid w:val="00AE56DE"/>
    <w:rsid w:val="00AF3D4E"/>
    <w:rsid w:val="00AF6B50"/>
    <w:rsid w:val="00B14AE2"/>
    <w:rsid w:val="00B15E57"/>
    <w:rsid w:val="00B57A7B"/>
    <w:rsid w:val="00B62BDB"/>
    <w:rsid w:val="00B67774"/>
    <w:rsid w:val="00B83C49"/>
    <w:rsid w:val="00BA1370"/>
    <w:rsid w:val="00BA3655"/>
    <w:rsid w:val="00BA75B1"/>
    <w:rsid w:val="00BA7ED7"/>
    <w:rsid w:val="00BC74AD"/>
    <w:rsid w:val="00BC7F34"/>
    <w:rsid w:val="00BD0A2F"/>
    <w:rsid w:val="00BE15D1"/>
    <w:rsid w:val="00BE247A"/>
    <w:rsid w:val="00BF3278"/>
    <w:rsid w:val="00BF6186"/>
    <w:rsid w:val="00C02F7F"/>
    <w:rsid w:val="00C062F4"/>
    <w:rsid w:val="00C15161"/>
    <w:rsid w:val="00C1624C"/>
    <w:rsid w:val="00C245E2"/>
    <w:rsid w:val="00C26331"/>
    <w:rsid w:val="00CC3CC2"/>
    <w:rsid w:val="00CD4F7A"/>
    <w:rsid w:val="00CE70DF"/>
    <w:rsid w:val="00CE7FAC"/>
    <w:rsid w:val="00CF7531"/>
    <w:rsid w:val="00D12471"/>
    <w:rsid w:val="00D230F7"/>
    <w:rsid w:val="00D65F78"/>
    <w:rsid w:val="00D66DE0"/>
    <w:rsid w:val="00D77E0F"/>
    <w:rsid w:val="00D8439A"/>
    <w:rsid w:val="00D84625"/>
    <w:rsid w:val="00DA2F49"/>
    <w:rsid w:val="00DA3006"/>
    <w:rsid w:val="00DA72D1"/>
    <w:rsid w:val="00DB2228"/>
    <w:rsid w:val="00DB577B"/>
    <w:rsid w:val="00DC3DD7"/>
    <w:rsid w:val="00DD34B7"/>
    <w:rsid w:val="00DE450E"/>
    <w:rsid w:val="00DE5F9E"/>
    <w:rsid w:val="00DF0FF3"/>
    <w:rsid w:val="00E06956"/>
    <w:rsid w:val="00E14A54"/>
    <w:rsid w:val="00E36F28"/>
    <w:rsid w:val="00E462D5"/>
    <w:rsid w:val="00E47336"/>
    <w:rsid w:val="00E5174E"/>
    <w:rsid w:val="00E552EA"/>
    <w:rsid w:val="00E7102A"/>
    <w:rsid w:val="00E71E95"/>
    <w:rsid w:val="00E876C5"/>
    <w:rsid w:val="00E95C83"/>
    <w:rsid w:val="00EB7A46"/>
    <w:rsid w:val="00EB7F52"/>
    <w:rsid w:val="00ED3BF3"/>
    <w:rsid w:val="00EE3320"/>
    <w:rsid w:val="00EE7E06"/>
    <w:rsid w:val="00EF37D9"/>
    <w:rsid w:val="00F0442E"/>
    <w:rsid w:val="00F0775F"/>
    <w:rsid w:val="00F10AC6"/>
    <w:rsid w:val="00F247D2"/>
    <w:rsid w:val="00F26409"/>
    <w:rsid w:val="00F33812"/>
    <w:rsid w:val="00F36E3C"/>
    <w:rsid w:val="00F458E9"/>
    <w:rsid w:val="00F50550"/>
    <w:rsid w:val="00F5783F"/>
    <w:rsid w:val="00F61B94"/>
    <w:rsid w:val="00F6211C"/>
    <w:rsid w:val="00F720DF"/>
    <w:rsid w:val="00F91392"/>
    <w:rsid w:val="00FA433E"/>
    <w:rsid w:val="00FC3EFF"/>
    <w:rsid w:val="00FC4FEB"/>
    <w:rsid w:val="00FD4ACF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B3"/>
  <w15:docId w15:val="{D0A14153-3A0F-4323-98B3-08A72DC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Calibri" w:hAnsi="Arial" w:cs="Arial"/>
      <w:b/>
      <w:bCs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40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Arial"/>
      <w:b/>
      <w:bCs/>
      <w:kern w:val="2"/>
      <w:sz w:val="32"/>
      <w:szCs w:val="32"/>
      <w:lang w:eastAsia="en-US" w:bidi="ar-SA"/>
    </w:rPr>
  </w:style>
  <w:style w:type="character" w:customStyle="1" w:styleId="Tekstpodstawowy2Znak">
    <w:name w:val="Tekst podstawowy 2 Znak"/>
    <w:basedOn w:val="Domylnaczcionkaakapitu"/>
    <w:qFormat/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0"/>
    </w:rPr>
  </w:style>
  <w:style w:type="character" w:customStyle="1" w:styleId="Bodytext2">
    <w:name w:val="Body text (2)_"/>
    <w:basedOn w:val="Domylnaczcionkaakapitu"/>
    <w:qFormat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F5496"/>
      <w:sz w:val="26"/>
      <w:szCs w:val="23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4C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4C9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4C90"/>
    <w:rPr>
      <w:b/>
      <w:bCs/>
      <w:sz w:val="20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uiPriority w:val="1"/>
    <w:qFormat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Standard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4"/>
      <w:lang w:eastAsia="pl-PL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cs="Times New Roman"/>
      <w:lang w:bidi="ar-SA"/>
    </w:rPr>
  </w:style>
  <w:style w:type="paragraph" w:styleId="Tekstpodstawowy2">
    <w:name w:val="Body Text 2"/>
    <w:basedOn w:val="Normalny"/>
    <w:qFormat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20">
    <w:name w:val="Body text (2)"/>
    <w:basedOn w:val="Normalny"/>
    <w:qFormat/>
    <w:pPr>
      <w:shd w:val="clear" w:color="auto" w:fill="FFFFFF"/>
      <w:suppressAutoHyphens w:val="0"/>
      <w:jc w:val="right"/>
      <w:textAlignment w:val="auto"/>
    </w:pPr>
    <w:rPr>
      <w:rFonts w:ascii="Palatino Linotype" w:eastAsia="Palatino Linotype" w:hAnsi="Palatino Linotype" w:cs="Palatino Linotype"/>
      <w:sz w:val="20"/>
      <w:szCs w:val="20"/>
    </w:rPr>
  </w:style>
  <w:style w:type="paragraph" w:styleId="Poprawka">
    <w:name w:val="Revision"/>
    <w:uiPriority w:val="99"/>
    <w:semiHidden/>
    <w:qFormat/>
    <w:rsid w:val="00C83F06"/>
    <w:rPr>
      <w:sz w:val="24"/>
      <w:szCs w:val="21"/>
    </w:rPr>
  </w:style>
  <w:style w:type="paragraph" w:customStyle="1" w:styleId="ZnakZnak1">
    <w:name w:val="Znak Znak1"/>
    <w:basedOn w:val="Normalny"/>
    <w:qFormat/>
    <w:rsid w:val="00BD38F0"/>
    <w:pPr>
      <w:widowControl/>
      <w:suppressAutoHyphens w:val="0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4C9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4C90"/>
    <w:rPr>
      <w:b/>
      <w:bCs/>
    </w:rPr>
  </w:style>
  <w:style w:type="paragraph" w:customStyle="1" w:styleId="Akapitzlist1">
    <w:name w:val="Akapit z listą1"/>
    <w:basedOn w:val="Normalny"/>
    <w:qFormat/>
    <w:rsid w:val="002E2232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2E2232"/>
    <w:pPr>
      <w:suppressAutoHyphens w:val="0"/>
      <w:ind w:left="64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223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0550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E0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E0F"/>
    <w:rPr>
      <w:sz w:val="24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409"/>
    <w:rPr>
      <w:rFonts w:asciiTheme="majorHAnsi" w:eastAsiaTheme="majorEastAsia" w:hAnsiTheme="majorHAnsi"/>
      <w:color w:val="243F60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3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16CC-27C8-49F2-B7B0-D1789334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ŁM</cp:lastModifiedBy>
  <cp:revision>7</cp:revision>
  <cp:lastPrinted>2024-05-17T12:52:00Z</cp:lastPrinted>
  <dcterms:created xsi:type="dcterms:W3CDTF">2025-05-19T08:00:00Z</dcterms:created>
  <dcterms:modified xsi:type="dcterms:W3CDTF">2025-05-19T08:36:00Z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