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71E78E91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5D78A2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5D78A2">
        <w:rPr>
          <w:rFonts w:ascii="Arial" w:eastAsia="Times New Roman" w:hAnsi="Arial" w:cs="Arial"/>
          <w:bCs/>
          <w:kern w:val="2"/>
        </w:rPr>
        <w:t>320</w:t>
      </w:r>
      <w:r w:rsidR="00A212A2">
        <w:rPr>
          <w:rFonts w:ascii="Arial" w:eastAsia="Times New Roman" w:hAnsi="Arial" w:cs="Arial"/>
          <w:bCs/>
          <w:kern w:val="2"/>
        </w:rPr>
        <w:t xml:space="preserve"> </w:t>
      </w:r>
      <w:r w:rsidRPr="00314312">
        <w:rPr>
          <w:rFonts w:ascii="Arial" w:eastAsia="Times New Roman" w:hAnsi="Arial" w:cs="Arial"/>
          <w:bCs/>
          <w:kern w:val="2"/>
        </w:rPr>
        <w:t>ze zm.),</w:t>
      </w:r>
    </w:p>
    <w:p w14:paraId="09AE2101" w14:textId="7834CAFF" w:rsidR="00582AD7" w:rsidRPr="00582AD7" w:rsidRDefault="00314312" w:rsidP="00582AD7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6AA351A9" w14:textId="77777777" w:rsidR="005D78A2" w:rsidRPr="005D78A2" w:rsidRDefault="005D78A2" w:rsidP="005D78A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  <w:r w:rsidRPr="005D78A2">
        <w:rPr>
          <w:rFonts w:ascii="Arial" w:eastAsia="Times New Roman" w:hAnsi="Arial" w:cs="Arial"/>
          <w:b/>
          <w:kern w:val="2"/>
        </w:rPr>
        <w:t>Zakup i dostawa sprzętu i wyposażenia medycznego na potrzeby działań diagnostycznych, świadczeń profilaktycznych, wzmocnienia opieki domowej nad pacjentami oraz opieki fizjoterapeutycznej</w:t>
      </w:r>
    </w:p>
    <w:p w14:paraId="6F498D4C" w14:textId="77777777"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 w16cid:durableId="42828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312"/>
    <w:rsid w:val="00073027"/>
    <w:rsid w:val="000B700E"/>
    <w:rsid w:val="002F4AA0"/>
    <w:rsid w:val="00314312"/>
    <w:rsid w:val="003649AD"/>
    <w:rsid w:val="00533D4C"/>
    <w:rsid w:val="005768C6"/>
    <w:rsid w:val="00582AD7"/>
    <w:rsid w:val="005D78A2"/>
    <w:rsid w:val="00645DB6"/>
    <w:rsid w:val="007E40C8"/>
    <w:rsid w:val="0082005F"/>
    <w:rsid w:val="00981C94"/>
    <w:rsid w:val="00A212A2"/>
    <w:rsid w:val="00A74FDF"/>
    <w:rsid w:val="00CB0C02"/>
    <w:rsid w:val="00CB16C7"/>
    <w:rsid w:val="00D14B8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  <w15:docId w15:val="{90C8C8EE-B457-442B-A164-81A6065E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1138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2021-02-24T22:25:00Z</dcterms:created>
  <dcterms:modified xsi:type="dcterms:W3CDTF">2025-04-11T07:55:00Z</dcterms:modified>
</cp:coreProperties>
</file>