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t xml:space="preserve">Społeczna Inicjatywa Mieszkaniowa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gminie Gronowo Elbląskie” - etap 1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Oświadczam, że nie podlegam wykluczeniu z postępowania na podstawie art. 109 ust 1 pkt 4 ustawy Prawo zamówień publicznych.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O43ADTEBbtXEYMieRJBjfnQ78g==">CgMxLjAyCWlkLmdqZGd4czIKaWQuMzBqMHpsbDgAaiMKFHN1Z2dlc3QuY2Q5aTBxdmMzdDNyEgtLYXJvbCBOb3dha2ojChRzdWdnZXN0LnZhOTFoMDg4OWxuNRILS2Fyb2wgTm93YWtqIwoUc3VnZ2VzdC5pb3BsdGJ5ZzZya3QSC0thcm9sIE5vd2FraiMKFHN1Z2dlc3QudGR5dDN1NmgydG9kEgtLYXJvbCBOb3dha2orChRzdWdnZXN0LnI0dmprbmoxMnY4ORITTWFnZGFsZW5hIELFgmXFhHNrYWojChRzdWdnZXN0LnNjajhqYjNwbjFqNRILS2Fyb2wgTm93YWtyITF2Q1lyZzNBUElILXlwQmpxMTBQbGpsc2x6Ulh2UVNm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