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9053" w14:textId="77777777" w:rsidR="00C75EF1" w:rsidRPr="00072FF4" w:rsidRDefault="00C75EF1" w:rsidP="00C75EF1">
      <w:pPr>
        <w:pStyle w:val="Tematkomentarza"/>
        <w:tabs>
          <w:tab w:val="left" w:pos="623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BEC3E13" w14:textId="3350D010" w:rsidR="00C75EF1" w:rsidRPr="00072FF4" w:rsidRDefault="00C75EF1" w:rsidP="00C75EF1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DO.WAL.261.ZP.13.23.EJ</w:t>
      </w:r>
      <w:r w:rsidR="004A5295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="00072FF4"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Z</w:t>
      </w: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72FF4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7B4FF4">
        <w:rPr>
          <w:rFonts w:ascii="Calibri" w:hAnsi="Calibri" w:cs="Calibri"/>
          <w:b w:val="0"/>
          <w:sz w:val="24"/>
          <w:szCs w:val="24"/>
        </w:rPr>
        <w:t>1</w:t>
      </w:r>
      <w:r w:rsidR="00C00AC8">
        <w:rPr>
          <w:rFonts w:ascii="Calibri" w:hAnsi="Calibri" w:cs="Calibri"/>
          <w:b w:val="0"/>
          <w:sz w:val="24"/>
          <w:szCs w:val="24"/>
        </w:rPr>
        <w:t>4</w:t>
      </w:r>
      <w:r w:rsidR="008613BA">
        <w:rPr>
          <w:rFonts w:ascii="Calibri" w:hAnsi="Calibri" w:cs="Calibri"/>
          <w:b w:val="0"/>
          <w:sz w:val="24"/>
          <w:szCs w:val="24"/>
        </w:rPr>
        <w:t>.09</w:t>
      </w:r>
      <w:r w:rsidRPr="00072FF4">
        <w:rPr>
          <w:rFonts w:ascii="Calibri" w:hAnsi="Calibri" w:cs="Calibri"/>
          <w:b w:val="0"/>
          <w:sz w:val="24"/>
          <w:szCs w:val="24"/>
        </w:rPr>
        <w:t>.2023 r.</w:t>
      </w:r>
    </w:p>
    <w:p w14:paraId="3217A2E2" w14:textId="77777777" w:rsidR="00C75EF1" w:rsidRPr="00072FF4" w:rsidRDefault="00C75EF1" w:rsidP="00570FBF">
      <w:pPr>
        <w:spacing w:before="600" w:after="360"/>
        <w:ind w:left="5432" w:firstLine="96"/>
        <w:rPr>
          <w:rFonts w:cs="Calibri"/>
          <w:b/>
          <w:noProof/>
          <w:sz w:val="28"/>
          <w:szCs w:val="28"/>
        </w:rPr>
      </w:pPr>
      <w:r w:rsidRPr="00072FF4">
        <w:rPr>
          <w:rFonts w:cs="Calibri"/>
          <w:b/>
          <w:noProof/>
          <w:sz w:val="28"/>
          <w:szCs w:val="28"/>
        </w:rPr>
        <w:t>Wszyscy Wykonawcy</w:t>
      </w:r>
    </w:p>
    <w:bookmarkEnd w:id="0"/>
    <w:p w14:paraId="4FD095E9" w14:textId="3F01D988" w:rsidR="00C75EF1" w:rsidRPr="00072FF4" w:rsidRDefault="00C75EF1" w:rsidP="00570FBF">
      <w:pPr>
        <w:spacing w:before="240" w:after="120"/>
        <w:ind w:left="851" w:hanging="851"/>
        <w:rPr>
          <w:rFonts w:cs="Calibri"/>
          <w:bCs/>
          <w:noProof/>
          <w:sz w:val="24"/>
          <w:szCs w:val="24"/>
        </w:rPr>
      </w:pPr>
      <w:r w:rsidRPr="00072FF4">
        <w:rPr>
          <w:rFonts w:cs="Calibri"/>
          <w:bCs/>
          <w:noProof/>
          <w:sz w:val="24"/>
          <w:szCs w:val="24"/>
        </w:rPr>
        <w:t>dotyczy: postępowania na usługi „Asysty technicznej i konserwacji, modyfikacji i rozwoju systemu e-PFRON2” – numer sprawy ZP/13/23.</w:t>
      </w:r>
    </w:p>
    <w:p w14:paraId="3477A52F" w14:textId="77777777" w:rsidR="001000AA" w:rsidRPr="00072FF4" w:rsidRDefault="001000AA" w:rsidP="00570FBF">
      <w:pPr>
        <w:spacing w:before="240" w:after="120"/>
        <w:rPr>
          <w:rStyle w:val="Mocnowyrniony"/>
          <w:sz w:val="24"/>
          <w:szCs w:val="24"/>
        </w:rPr>
      </w:pPr>
      <w:r w:rsidRPr="00072FF4">
        <w:rPr>
          <w:rStyle w:val="Mocnowyrniony"/>
          <w:sz w:val="24"/>
          <w:szCs w:val="24"/>
        </w:rPr>
        <w:t>ZMIANA TREŚCI SPECYFIKACJI WARUNKÓW ZAMÓWIENIA</w:t>
      </w:r>
    </w:p>
    <w:p w14:paraId="6D08D23E" w14:textId="43392EAC" w:rsidR="001000AA" w:rsidRPr="00072FF4" w:rsidRDefault="001000AA" w:rsidP="001000AA">
      <w:pPr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Zamawiający zgodnie z art. 137 ust. 1 ustawy Prawo zamówień publicznych (Dz. U. z 2023 r., poz. 1605) zwanej dalej ustawą Pzp, dokonał następujących zmian w treści Specyfikacji Warunków Zamówienia</w:t>
      </w:r>
      <w:r w:rsidR="00072FF4" w:rsidRPr="00072FF4">
        <w:rPr>
          <w:rStyle w:val="Mocnowyrniony"/>
          <w:b w:val="0"/>
          <w:bCs w:val="0"/>
          <w:sz w:val="24"/>
          <w:szCs w:val="24"/>
        </w:rPr>
        <w:t xml:space="preserve">, zwanej dalej </w:t>
      </w:r>
      <w:r w:rsidRPr="00072FF4">
        <w:rPr>
          <w:rStyle w:val="Mocnowyrniony"/>
          <w:b w:val="0"/>
          <w:bCs w:val="0"/>
          <w:sz w:val="24"/>
          <w:szCs w:val="24"/>
        </w:rPr>
        <w:t>SWZ:</w:t>
      </w:r>
    </w:p>
    <w:p w14:paraId="6C292C83" w14:textId="1A1D6630" w:rsidR="009640ED" w:rsidRPr="009640ED" w:rsidRDefault="00620F16" w:rsidP="00BF3E81">
      <w:pPr>
        <w:numPr>
          <w:ilvl w:val="0"/>
          <w:numId w:val="21"/>
        </w:numPr>
        <w:spacing w:after="11"/>
        <w:ind w:left="284" w:hanging="295"/>
        <w:rPr>
          <w:rStyle w:val="Mocnowyrniony"/>
          <w:b w:val="0"/>
          <w:bCs w:val="0"/>
          <w:sz w:val="24"/>
          <w:szCs w:val="24"/>
        </w:rPr>
      </w:pPr>
      <w:bookmarkStart w:id="1" w:name="_Hlk144805530"/>
      <w:bookmarkStart w:id="2" w:name="_Hlk75516811"/>
      <w:bookmarkStart w:id="3" w:name="_Hlk76126154"/>
      <w:r>
        <w:rPr>
          <w:rStyle w:val="Mocnowyrniony"/>
          <w:b w:val="0"/>
          <w:bCs w:val="0"/>
          <w:sz w:val="24"/>
          <w:szCs w:val="24"/>
        </w:rPr>
        <w:t>Załącznik 1 do SWZ Opis przedmiotu zamówienia</w:t>
      </w:r>
      <w:r w:rsidR="00D54134">
        <w:rPr>
          <w:rStyle w:val="Mocnowyrniony"/>
          <w:b w:val="0"/>
          <w:bCs w:val="0"/>
          <w:sz w:val="24"/>
          <w:szCs w:val="24"/>
        </w:rPr>
        <w:t xml:space="preserve"> (OPZ)</w:t>
      </w:r>
      <w:r w:rsidR="009640ED">
        <w:rPr>
          <w:rStyle w:val="Mocnowyrniony"/>
          <w:rFonts w:eastAsia="Calibri"/>
          <w:b w:val="0"/>
          <w:bCs w:val="0"/>
          <w:sz w:val="24"/>
          <w:szCs w:val="24"/>
        </w:rPr>
        <w:t>:</w:t>
      </w:r>
    </w:p>
    <w:p w14:paraId="0B407742" w14:textId="28C2330E" w:rsidR="001000AA" w:rsidRPr="00620F16" w:rsidRDefault="00D54134" w:rsidP="00BF3E81">
      <w:pPr>
        <w:numPr>
          <w:ilvl w:val="1"/>
          <w:numId w:val="21"/>
        </w:numPr>
        <w:spacing w:after="11"/>
        <w:ind w:left="709"/>
        <w:rPr>
          <w:rStyle w:val="Mocnowyrniony"/>
          <w:b w:val="0"/>
          <w:bCs w:val="0"/>
          <w:sz w:val="24"/>
          <w:szCs w:val="24"/>
        </w:rPr>
      </w:pPr>
      <w:r w:rsidRPr="00D54134">
        <w:rPr>
          <w:rStyle w:val="Mocnowyrniony"/>
          <w:rFonts w:eastAsia="Calibri"/>
          <w:b w:val="0"/>
          <w:bCs w:val="0"/>
          <w:sz w:val="24"/>
          <w:szCs w:val="24"/>
        </w:rPr>
        <w:t xml:space="preserve">Rozdział 4.1 Wymagania dotyczące Usługi Asysty Technicznej i Konserwacji 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br/>
      </w:r>
      <w:r w:rsidR="00620F16">
        <w:rPr>
          <w:rStyle w:val="Mocnowyrniony"/>
          <w:rFonts w:eastAsia="Calibri"/>
          <w:b w:val="0"/>
          <w:bCs w:val="0"/>
          <w:sz w:val="24"/>
          <w:szCs w:val="24"/>
        </w:rPr>
        <w:t>pkt. ATK-</w:t>
      </w:r>
      <w:r w:rsidR="00BF3E81">
        <w:rPr>
          <w:rStyle w:val="Mocnowyrniony"/>
          <w:rFonts w:eastAsia="Calibri"/>
          <w:b w:val="0"/>
          <w:bCs w:val="0"/>
          <w:sz w:val="24"/>
          <w:szCs w:val="24"/>
        </w:rPr>
        <w:t>58</w:t>
      </w:r>
      <w:r w:rsidR="00620F16">
        <w:rPr>
          <w:rStyle w:val="Mocnowyrniony"/>
          <w:rFonts w:eastAsia="Calibri"/>
          <w:b w:val="0"/>
          <w:bCs w:val="0"/>
          <w:sz w:val="24"/>
          <w:szCs w:val="24"/>
        </w:rPr>
        <w:t xml:space="preserve">. </w:t>
      </w:r>
      <w:r>
        <w:rPr>
          <w:rStyle w:val="Mocnowyrniony"/>
          <w:b w:val="0"/>
          <w:bCs w:val="0"/>
          <w:sz w:val="24"/>
          <w:szCs w:val="24"/>
        </w:rPr>
        <w:t>OPZ</w:t>
      </w:r>
      <w:r w:rsidR="001000AA" w:rsidRPr="00620F16">
        <w:rPr>
          <w:rStyle w:val="Mocnowyrniony"/>
          <w:b w:val="0"/>
          <w:bCs w:val="0"/>
          <w:sz w:val="24"/>
          <w:szCs w:val="24"/>
        </w:rPr>
        <w:t xml:space="preserve"> otrzymuje brzmienie:</w:t>
      </w:r>
    </w:p>
    <w:bookmarkEnd w:id="1"/>
    <w:p w14:paraId="45855FAD" w14:textId="77777777" w:rsidR="00BF3E81" w:rsidRPr="00BF3E81" w:rsidRDefault="001000AA" w:rsidP="00BF3E81">
      <w:pPr>
        <w:spacing w:after="11"/>
        <w:ind w:left="1701" w:hanging="992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„</w:t>
      </w:r>
      <w:r w:rsidR="00BF3E81" w:rsidRPr="00BF3E81">
        <w:rPr>
          <w:rStyle w:val="Mocnowyrniony"/>
          <w:b w:val="0"/>
          <w:bCs w:val="0"/>
          <w:sz w:val="24"/>
          <w:szCs w:val="24"/>
        </w:rPr>
        <w:t>ATK-58.</w:t>
      </w:r>
      <w:r w:rsidR="00BF3E81" w:rsidRPr="00BF3E81">
        <w:rPr>
          <w:rStyle w:val="Mocnowyrniony"/>
          <w:b w:val="0"/>
          <w:bCs w:val="0"/>
          <w:sz w:val="24"/>
          <w:szCs w:val="24"/>
        </w:rPr>
        <w:tab/>
        <w:t>Aktualizacja Systemu przez Wykonawcę obejmuje w szczególności:</w:t>
      </w:r>
    </w:p>
    <w:p w14:paraId="28B44CFC" w14:textId="2592E878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1)</w:t>
      </w:r>
      <w:r w:rsidRPr="00BF3E81">
        <w:rPr>
          <w:rStyle w:val="Mocnowyrniony"/>
          <w:b w:val="0"/>
          <w:bCs w:val="0"/>
          <w:sz w:val="24"/>
          <w:szCs w:val="24"/>
        </w:rPr>
        <w:tab/>
        <w:t>przygotowanie i uzgodnienie z Zamawiającym planu wdrożenia wersji Systemu, aby Zamawiający z odpowiednim wyprzedzeniem mógł poinformować Użytkowników wewnętrznych i zewnętrznych o</w:t>
      </w:r>
      <w:r w:rsidR="00570FBF">
        <w:rPr>
          <w:rStyle w:val="Mocnowyrniony"/>
          <w:b w:val="0"/>
          <w:bCs w:val="0"/>
          <w:sz w:val="24"/>
          <w:szCs w:val="24"/>
        </w:rPr>
        <w:t> </w:t>
      </w:r>
      <w:r w:rsidRPr="00BF3E81">
        <w:rPr>
          <w:rStyle w:val="Mocnowyrniony"/>
          <w:b w:val="0"/>
          <w:bCs w:val="0"/>
          <w:sz w:val="24"/>
          <w:szCs w:val="24"/>
        </w:rPr>
        <w:t>przerwie w działaniu Systemu i planowanym zakresie aktualizacji;</w:t>
      </w:r>
    </w:p>
    <w:p w14:paraId="27FA30EC" w14:textId="77777777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2)</w:t>
      </w:r>
      <w:r w:rsidRPr="00BF3E81">
        <w:rPr>
          <w:rStyle w:val="Mocnowyrniony"/>
          <w:b w:val="0"/>
          <w:bCs w:val="0"/>
          <w:sz w:val="24"/>
          <w:szCs w:val="24"/>
        </w:rPr>
        <w:tab/>
        <w:t>dostarczenie aktualizacji;</w:t>
      </w:r>
    </w:p>
    <w:p w14:paraId="44338B40" w14:textId="77777777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3)</w:t>
      </w:r>
      <w:r w:rsidRPr="00BF3E81">
        <w:rPr>
          <w:rStyle w:val="Mocnowyrniony"/>
          <w:b w:val="0"/>
          <w:bCs w:val="0"/>
          <w:sz w:val="24"/>
          <w:szCs w:val="24"/>
        </w:rPr>
        <w:tab/>
        <w:t>instalację aktualizacji na Środowisku Testowym;</w:t>
      </w:r>
    </w:p>
    <w:p w14:paraId="0871F4F7" w14:textId="77777777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4)</w:t>
      </w:r>
      <w:r w:rsidRPr="00BF3E81">
        <w:rPr>
          <w:rStyle w:val="Mocnowyrniony"/>
          <w:b w:val="0"/>
          <w:bCs w:val="0"/>
          <w:sz w:val="24"/>
          <w:szCs w:val="24"/>
        </w:rPr>
        <w:tab/>
        <w:t>instalację aktualizacji na Środowisku Produkcyjnym;</w:t>
      </w:r>
    </w:p>
    <w:p w14:paraId="16CF4BA0" w14:textId="15D01C5F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5)</w:t>
      </w:r>
      <w:r w:rsidRPr="00BF3E81">
        <w:rPr>
          <w:rStyle w:val="Mocnowyrniony"/>
          <w:b w:val="0"/>
          <w:bCs w:val="0"/>
          <w:sz w:val="24"/>
          <w:szCs w:val="24"/>
        </w:rPr>
        <w:tab/>
        <w:t>testy Systemu na Środowisku Developerskim, Środowisku Testowym;</w:t>
      </w:r>
    </w:p>
    <w:p w14:paraId="2994ECD4" w14:textId="77777777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6)</w:t>
      </w:r>
      <w:r w:rsidRPr="00BF3E81">
        <w:rPr>
          <w:rStyle w:val="Mocnowyrniony"/>
          <w:b w:val="0"/>
          <w:bCs w:val="0"/>
          <w:sz w:val="24"/>
          <w:szCs w:val="24"/>
        </w:rPr>
        <w:tab/>
        <w:t>wsparcie przy uruchamianiu Systemu na wyżej wymienionych środowiskach;</w:t>
      </w:r>
    </w:p>
    <w:p w14:paraId="514E413A" w14:textId="77777777" w:rsidR="00BF3E81" w:rsidRPr="00BF3E81" w:rsidRDefault="00BF3E81" w:rsidP="00BF3E81">
      <w:pPr>
        <w:spacing w:after="11"/>
        <w:ind w:left="2127" w:hanging="425"/>
        <w:rPr>
          <w:rStyle w:val="Mocnowyrniony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7)</w:t>
      </w:r>
      <w:r w:rsidRPr="00BF3E81">
        <w:rPr>
          <w:rStyle w:val="Mocnowyrniony"/>
          <w:b w:val="0"/>
          <w:bCs w:val="0"/>
          <w:sz w:val="24"/>
          <w:szCs w:val="24"/>
        </w:rPr>
        <w:tab/>
        <w:t>aktualizacje Dokumentacji Systemu oraz Kodów Źródłowych w formie elektronicznej;</w:t>
      </w:r>
    </w:p>
    <w:p w14:paraId="11226883" w14:textId="42294176" w:rsidR="001000AA" w:rsidRDefault="00BF3E81" w:rsidP="00BF3E81">
      <w:pPr>
        <w:spacing w:after="11"/>
        <w:ind w:left="2127" w:hanging="425"/>
        <w:rPr>
          <w:rStyle w:val="Mocnowyrniony"/>
          <w:rFonts w:eastAsia="Calibri"/>
          <w:b w:val="0"/>
          <w:bCs w:val="0"/>
          <w:sz w:val="24"/>
          <w:szCs w:val="24"/>
        </w:rPr>
      </w:pPr>
      <w:r w:rsidRPr="00BF3E81">
        <w:rPr>
          <w:rStyle w:val="Mocnowyrniony"/>
          <w:b w:val="0"/>
          <w:bCs w:val="0"/>
          <w:sz w:val="24"/>
          <w:szCs w:val="24"/>
        </w:rPr>
        <w:t>8)</w:t>
      </w:r>
      <w:r w:rsidRPr="00BF3E81">
        <w:rPr>
          <w:rStyle w:val="Mocnowyrniony"/>
          <w:b w:val="0"/>
          <w:bCs w:val="0"/>
          <w:sz w:val="24"/>
          <w:szCs w:val="24"/>
        </w:rPr>
        <w:tab/>
        <w:t>podniesienie numeru wersji Systemu.</w:t>
      </w:r>
      <w:r w:rsidR="001000AA" w:rsidRPr="00072FF4">
        <w:rPr>
          <w:rStyle w:val="Mocnowyrniony"/>
          <w:rFonts w:eastAsia="Calibri"/>
          <w:b w:val="0"/>
          <w:bCs w:val="0"/>
          <w:sz w:val="24"/>
          <w:szCs w:val="24"/>
        </w:rPr>
        <w:t>”.</w:t>
      </w:r>
      <w:bookmarkEnd w:id="2"/>
      <w:bookmarkEnd w:id="3"/>
    </w:p>
    <w:p w14:paraId="0A44D4F5" w14:textId="05039C4E" w:rsidR="009640ED" w:rsidRDefault="00D54134" w:rsidP="00570FBF">
      <w:pPr>
        <w:numPr>
          <w:ilvl w:val="1"/>
          <w:numId w:val="21"/>
        </w:numPr>
        <w:spacing w:before="120" w:after="11"/>
        <w:ind w:left="709" w:hanging="357"/>
        <w:rPr>
          <w:rStyle w:val="Mocnowyrniony"/>
          <w:rFonts w:eastAsia="Calibri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 xml:space="preserve">Rozdział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4.1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 xml:space="preserve"> </w:t>
      </w:r>
      <w:r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Wymagania dotyczące Usługi Asysty Technicznej i Konserwacji </w:t>
      </w:r>
      <w:r w:rsidR="005B2D4A">
        <w:rPr>
          <w:rStyle w:val="Mocnowyrniony"/>
          <w:rFonts w:eastAsia="Calibri"/>
          <w:b w:val="0"/>
          <w:bCs w:val="0"/>
          <w:sz w:val="24"/>
          <w:szCs w:val="24"/>
        </w:rPr>
        <w:br/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>pkt. ATK-</w:t>
      </w:r>
      <w:r w:rsidR="00BF3E81">
        <w:rPr>
          <w:rStyle w:val="Mocnowyrniony"/>
          <w:rFonts w:eastAsia="Calibri"/>
          <w:b w:val="0"/>
          <w:bCs w:val="0"/>
          <w:sz w:val="24"/>
          <w:szCs w:val="24"/>
        </w:rPr>
        <w:t>59</w:t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. 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OPZ</w:t>
      </w:r>
      <w:r w:rsidR="009640ED" w:rsidRPr="009640ED">
        <w:rPr>
          <w:rStyle w:val="Mocnowyrniony"/>
          <w:rFonts w:eastAsia="Calibri"/>
          <w:b w:val="0"/>
          <w:bCs w:val="0"/>
          <w:sz w:val="24"/>
          <w:szCs w:val="24"/>
        </w:rPr>
        <w:t xml:space="preserve"> otrzymuje brzmienie:</w:t>
      </w:r>
    </w:p>
    <w:p w14:paraId="7845FF60" w14:textId="6EC30E7A" w:rsidR="00BF3E81" w:rsidRPr="00BF3E81" w:rsidRDefault="009640ED" w:rsidP="00BF3E81">
      <w:pPr>
        <w:pStyle w:val="Akapitzlist"/>
        <w:spacing w:after="0"/>
        <w:ind w:left="1701" w:hanging="992"/>
        <w:rPr>
          <w:rFonts w:asciiTheme="minorHAnsi" w:eastAsia="Calibri" w:hAnsiTheme="minorHAnsi" w:cstheme="minorHAnsi"/>
          <w:sz w:val="24"/>
          <w:szCs w:val="24"/>
        </w:rPr>
      </w:pPr>
      <w:r>
        <w:rPr>
          <w:rStyle w:val="Mocnowyrniony"/>
          <w:rFonts w:eastAsia="Calibri"/>
          <w:b w:val="0"/>
          <w:bCs w:val="0"/>
          <w:sz w:val="24"/>
          <w:szCs w:val="24"/>
        </w:rPr>
        <w:t>„</w:t>
      </w:r>
      <w:r w:rsidR="00BF3E81">
        <w:rPr>
          <w:rStyle w:val="Mocnowyrniony"/>
          <w:rFonts w:eastAsia="Calibri"/>
          <w:b w:val="0"/>
          <w:bCs w:val="0"/>
          <w:sz w:val="24"/>
          <w:szCs w:val="24"/>
        </w:rPr>
        <w:t>ATK-59.</w:t>
      </w:r>
      <w:r w:rsidR="00BF3E81">
        <w:rPr>
          <w:rStyle w:val="Mocnowyrniony"/>
          <w:rFonts w:eastAsia="Calibri"/>
          <w:b w:val="0"/>
          <w:bCs w:val="0"/>
          <w:sz w:val="24"/>
          <w:szCs w:val="24"/>
        </w:rPr>
        <w:tab/>
      </w:r>
      <w:r w:rsidR="00BF3E81" w:rsidRPr="00BF3E81">
        <w:rPr>
          <w:rFonts w:asciiTheme="minorHAnsi" w:eastAsia="Calibri" w:hAnsiTheme="minorHAnsi" w:cstheme="minorHAnsi"/>
          <w:sz w:val="24"/>
          <w:szCs w:val="24"/>
        </w:rPr>
        <w:t>W ramach przedmiotu zamówienia Wykonawca będzie realizował prace związane z utrzymaniem, konserwacją, administracją i aktualizacją systemów operacyjnych oraz oprogramowania firm trzecich (w tym w</w:t>
      </w:r>
      <w:r w:rsidR="00BF3E81">
        <w:rPr>
          <w:rFonts w:asciiTheme="minorHAnsi" w:eastAsia="Calibri" w:hAnsiTheme="minorHAnsi" w:cstheme="minorHAnsi"/>
          <w:sz w:val="24"/>
          <w:szCs w:val="24"/>
        </w:rPr>
        <w:t> </w:t>
      </w:r>
      <w:r w:rsidR="00BF3E81" w:rsidRPr="00BF3E81">
        <w:rPr>
          <w:rFonts w:asciiTheme="minorHAnsi" w:eastAsia="Calibri" w:hAnsiTheme="minorHAnsi" w:cstheme="minorHAnsi"/>
          <w:sz w:val="24"/>
          <w:szCs w:val="24"/>
        </w:rPr>
        <w:t xml:space="preserve">szczególności silników baz danych, serwerów aplikacyjnych oraz bibliotek programistycznych i narzędzi), które wykorzystywane są do prawidłowego działania oprogramowania dziedzinowego podlegające Usłudze </w:t>
      </w:r>
      <w:proofErr w:type="spellStart"/>
      <w:r w:rsidR="00BF3E81" w:rsidRPr="00BF3E81">
        <w:rPr>
          <w:rFonts w:asciiTheme="minorHAnsi" w:eastAsia="Calibri" w:hAnsiTheme="minorHAnsi" w:cstheme="minorHAnsi"/>
          <w:sz w:val="24"/>
          <w:szCs w:val="24"/>
        </w:rPr>
        <w:t>ATiK</w:t>
      </w:r>
      <w:proofErr w:type="spellEnd"/>
      <w:r w:rsidR="00BF3E81" w:rsidRPr="00BF3E81">
        <w:rPr>
          <w:rFonts w:asciiTheme="minorHAnsi" w:eastAsia="Calibri" w:hAnsiTheme="minorHAnsi" w:cstheme="minorHAnsi"/>
          <w:sz w:val="24"/>
          <w:szCs w:val="24"/>
        </w:rPr>
        <w:t>-u, a</w:t>
      </w:r>
      <w:r w:rsidR="00BF3E81">
        <w:rPr>
          <w:rFonts w:asciiTheme="minorHAnsi" w:eastAsia="Calibri" w:hAnsiTheme="minorHAnsi" w:cstheme="minorHAnsi"/>
          <w:sz w:val="24"/>
          <w:szCs w:val="24"/>
        </w:rPr>
        <w:t> </w:t>
      </w:r>
      <w:r w:rsidR="00BF3E81" w:rsidRPr="00BF3E81">
        <w:rPr>
          <w:rFonts w:asciiTheme="minorHAnsi" w:eastAsia="Calibri" w:hAnsiTheme="minorHAnsi" w:cstheme="minorHAnsi"/>
          <w:sz w:val="24"/>
          <w:szCs w:val="24"/>
        </w:rPr>
        <w:t>w</w:t>
      </w:r>
      <w:r w:rsidR="00BF3E81">
        <w:rPr>
          <w:rFonts w:asciiTheme="minorHAnsi" w:eastAsia="Calibri" w:hAnsiTheme="minorHAnsi" w:cstheme="minorHAnsi"/>
          <w:sz w:val="24"/>
          <w:szCs w:val="24"/>
        </w:rPr>
        <w:t> </w:t>
      </w:r>
      <w:r w:rsidR="00BF3E81" w:rsidRPr="00BF3E81">
        <w:rPr>
          <w:rFonts w:asciiTheme="minorHAnsi" w:eastAsia="Calibri" w:hAnsiTheme="minorHAnsi" w:cstheme="minorHAnsi"/>
          <w:sz w:val="24"/>
          <w:szCs w:val="24"/>
        </w:rPr>
        <w:t>szczególności będzie realizował prace związane z:</w:t>
      </w:r>
    </w:p>
    <w:p w14:paraId="3062FE10" w14:textId="153D812C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lastRenderedPageBreak/>
        <w:t>monitorowaniem prawidłowości działania ww. systemów oraz oprogramowania firm trzecich. W przypadku zidentyfikowania niedostatecznej ilości zasobów Wykonawca zwróci się do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Zamawiającego z wnioskiem o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przydzielenie dodatkowych zasobów wraz ze wskazaniem ilości oraz określeniem powodu powstania ww.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zapotrzebowania. Jeśli wskazane zasoby będą dostępne, Zamawiający przydzieli zasoby w terminie nie dłuższym niż 10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Dni Roboczych od prawidłowo przedłożonego zapotrzebowania. Za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prawidłowo złożone zapotrzebowanie Zamawiający rozumie przekazanie za pośrednictwem kanału komunikacyjnego wskazanego w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Umowie informacji zawierających parametr podlegający zmianie oraz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powód zmiany (muszą one zawierać się w zamkniętym katalogu parametrów konfiguracyjnych maszyn wirtualnych właściwym dla ww.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proofErr w:type="spellStart"/>
      <w:r w:rsidRPr="00BF3E81">
        <w:rPr>
          <w:rFonts w:asciiTheme="minorHAnsi" w:eastAsia="Calibri" w:hAnsiTheme="minorHAnsi" w:cstheme="minorHAnsi"/>
          <w:sz w:val="24"/>
          <w:szCs w:val="24"/>
        </w:rPr>
        <w:t>wirtualizatora</w:t>
      </w:r>
      <w:proofErr w:type="spellEnd"/>
      <w:r w:rsidRPr="00BF3E81">
        <w:rPr>
          <w:rFonts w:asciiTheme="minorHAnsi" w:eastAsia="Calibri" w:hAnsiTheme="minorHAnsi" w:cstheme="minorHAnsi"/>
          <w:sz w:val="24"/>
          <w:szCs w:val="24"/>
        </w:rPr>
        <w:t>). O zakończeniu realizacji wniosku Zamawiający poinformuje Wykonawcę w sposób analogiczny do ww.. Po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przydzieleniu przez Zamawiającego dodatkowych zasobów w celu ich skutecznego wykorzystania Wykonawca dokona czynności rekonfiguracyjnych po stronie Oprogramowania Systemowego i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Narzędziowego oraz Oprogramowania Standardowego/Obcego, Oprogramowania Zamawiającego oraz Systemu. W/w czynności realizowane przez Wykonawcę muszą zostać zrealizowane w terminie nie dłuższym niż 10 Dni Roboczych od momentu poinformowania Wykonawcy o dostępności dodatkowych zasobów;</w:t>
      </w:r>
    </w:p>
    <w:p w14:paraId="60B96CC6" w14:textId="1B37140B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t>uaktualnianiem Oprogramowania Systemowego i Narzędziowego oraz Oprogramowania Standardowego/Obcego, Oprogramowania Zamawiającego oraz Systemu do wersji aktualnie wspieranej. Przez uaktualnienie do wersji aktualnie wspieranych Zamawiający rozumie czynności związane z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 xml:space="preserve">podniesieniem </w:t>
      </w:r>
      <w:bookmarkStart w:id="4" w:name="_Hlk118814967"/>
      <w:r w:rsidRPr="00BF3E81">
        <w:rPr>
          <w:rFonts w:asciiTheme="minorHAnsi" w:eastAsia="Calibri" w:hAnsiTheme="minorHAnsi" w:cstheme="minorHAnsi"/>
          <w:sz w:val="24"/>
          <w:szCs w:val="24"/>
        </w:rPr>
        <w:t>wersji Oprogramowania Systemowego i Narzędziowego oraz Oprogramowania Standardowego/Obcego, Oprogramowania Zamawiającego oraz Systemu</w:t>
      </w:r>
      <w:bookmarkEnd w:id="4"/>
      <w:r w:rsidRPr="00BF3E81">
        <w:rPr>
          <w:rFonts w:asciiTheme="minorHAnsi" w:eastAsia="Calibri" w:hAnsiTheme="minorHAnsi" w:cstheme="minorHAnsi"/>
          <w:sz w:val="24"/>
          <w:szCs w:val="24"/>
        </w:rPr>
        <w:t xml:space="preserve"> oraz wykonanie testów na Środowisku Testowym i sprawdzenie poprawności aktualizacji/instalacji na Środowisku Produkcyjnym do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wersji stabilnych posiadających aktualne wsparcie producenta tzn.</w:t>
      </w:r>
      <w:r w:rsidR="00570FBF"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posiadających możliwość pobierania i aktualizowania oprogramowania ze stron lub z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repozytoriów udostępnianych przez producenta oraz wprowadzania wszystkich zalecanych przez producenta uaktualnień, w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szczególności uaktualnień dotyczących zabezpieczeń;</w:t>
      </w:r>
    </w:p>
    <w:p w14:paraId="448ED447" w14:textId="77777777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t>instalowaniem poprawek i łat bezpieczeństwa dla Oprogramowania Systemowego i Narzędziowego oraz Oprogramowania Standardowego/Obcego, Oprogramowania Zamawiającego oraz Systemu;</w:t>
      </w:r>
    </w:p>
    <w:p w14:paraId="3672744C" w14:textId="77777777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lastRenderedPageBreak/>
        <w:t>zarządzaniem konfiguracją poszczególnych elementów Systemu oraz wersji Oprogramowania Systemowego i Narzędziowego, Oprogramowania Standardowego/Obcego, Oprogramowania Zamawiającego w celu optymalizowania działania i zapewnienia ciągłości działania;</w:t>
      </w:r>
    </w:p>
    <w:p w14:paraId="5FE44C8B" w14:textId="32C3FA7A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t>administrowaniem Oprogramowaniem Systemowym i Narzędziowym oraz Oprogramowaniem Standardowym/Obcym, Oprogramowaniem Zamawiającego oraz Systemem, w tym w szczególności dostosowywanie ww.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 xml:space="preserve">oprogramowania w zakresie zapewniania oczekiwanego poziomu optymalizacji działania wyżej wskazanego oprogramowania; </w:t>
      </w:r>
    </w:p>
    <w:p w14:paraId="54594E88" w14:textId="46BA0889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t>analizowaniem oraz przygotowaniem wytycznych w zakresie możliwości rozwojowych, realizacji zmian technologicznych mających na celu optymalizację pracy Oprogramowania Systemowego i Narzędziowego oraz Oprogramowania Standardowego/Obcego, Oprogramowania Zamawiającego oraz Systemu z jednoznacznym wskazaniem możliwości migracji do wskazanych przez Zamawiającego rozwiązań, w tym w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szczególności opis czynności do wykonania, przewidywaną pracochłonność oraz potencjalne występujące ryzyka;</w:t>
      </w:r>
    </w:p>
    <w:p w14:paraId="01268FAD" w14:textId="42AE36D4" w:rsidR="00BF3E81" w:rsidRPr="00BF3E81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t>administrowaniem certyfikatami służącymi do integracji Systemu z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 xml:space="preserve">innymi systemami zewnętrznymi i wewnętrznymi. </w:t>
      </w:r>
    </w:p>
    <w:p w14:paraId="4914F353" w14:textId="041C49ED" w:rsidR="00D54134" w:rsidRDefault="00BF3E81" w:rsidP="00BF3E81">
      <w:pPr>
        <w:numPr>
          <w:ilvl w:val="0"/>
          <w:numId w:val="26"/>
        </w:numPr>
        <w:spacing w:after="0"/>
        <w:ind w:left="1985"/>
        <w:contextualSpacing/>
        <w:rPr>
          <w:rStyle w:val="Mocnowyrniony"/>
          <w:rFonts w:eastAsia="Calibri"/>
          <w:b w:val="0"/>
          <w:bCs w:val="0"/>
          <w:sz w:val="24"/>
          <w:szCs w:val="24"/>
        </w:rPr>
      </w:pPr>
      <w:r w:rsidRPr="00BF3E81">
        <w:rPr>
          <w:rFonts w:asciiTheme="minorHAnsi" w:eastAsia="Calibri" w:hAnsiTheme="minorHAnsi" w:cstheme="minorHAnsi"/>
          <w:sz w:val="24"/>
          <w:szCs w:val="24"/>
        </w:rPr>
        <w:t>okresowym przeglądem kopii zapasowych. Wykonawca, w cyklach 6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BF3E81">
        <w:rPr>
          <w:rFonts w:asciiTheme="minorHAnsi" w:eastAsia="Calibri" w:hAnsiTheme="minorHAnsi" w:cstheme="minorHAnsi"/>
          <w:sz w:val="24"/>
          <w:szCs w:val="24"/>
        </w:rPr>
        <w:t>miesięcznych będzie przeprowadzał przegląd kopii zapasowych Systemu polegający na testowym odtworzeniu Systemu z kopii zapasowych na środowisko wskazane przez Zamawiającego. Odtworzeniu podlegać będą zarówno serwery aplikacyjne jak i serwery bazodanowe wraz z danymi</w:t>
      </w:r>
      <w:r w:rsidR="00D54134">
        <w:rPr>
          <w:rStyle w:val="Mocnowyrniony"/>
          <w:rFonts w:eastAsia="Calibri"/>
          <w:b w:val="0"/>
          <w:bCs w:val="0"/>
          <w:sz w:val="24"/>
          <w:szCs w:val="24"/>
        </w:rPr>
        <w:t>.</w:t>
      </w:r>
      <w:r>
        <w:rPr>
          <w:rStyle w:val="Mocnowyrniony"/>
          <w:rFonts w:eastAsia="Calibri"/>
          <w:b w:val="0"/>
          <w:bCs w:val="0"/>
          <w:sz w:val="24"/>
          <w:szCs w:val="24"/>
        </w:rPr>
        <w:t>”.</w:t>
      </w:r>
    </w:p>
    <w:p w14:paraId="3C56B6CF" w14:textId="77777777" w:rsidR="00732956" w:rsidRPr="007747EA" w:rsidRDefault="00732956" w:rsidP="00BF3E81">
      <w:pPr>
        <w:keepNext/>
        <w:numPr>
          <w:ilvl w:val="0"/>
          <w:numId w:val="21"/>
        </w:numPr>
        <w:spacing w:before="240" w:after="11"/>
        <w:ind w:left="284" w:hanging="295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7747E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W związku z powyższymi zmianami Zamawiający dokonuje zmiany terminu:</w:t>
      </w:r>
    </w:p>
    <w:p w14:paraId="65AFEEE0" w14:textId="21AF6ACF" w:rsidR="00732956" w:rsidRPr="007747EA" w:rsidRDefault="00732956" w:rsidP="00BF3E81">
      <w:pPr>
        <w:keepNext/>
        <w:numPr>
          <w:ilvl w:val="0"/>
          <w:numId w:val="23"/>
        </w:numPr>
        <w:tabs>
          <w:tab w:val="left" w:pos="0"/>
        </w:tabs>
        <w:spacing w:after="11"/>
        <w:ind w:left="851" w:hanging="436"/>
        <w:rPr>
          <w:rStyle w:val="Mocnowyrniony"/>
          <w:rFonts w:cs="Calibri"/>
          <w:color w:val="000000"/>
          <w:sz w:val="24"/>
          <w:szCs w:val="24"/>
        </w:rPr>
      </w:pP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składania ofert na dzień </w:t>
      </w:r>
      <w:r>
        <w:rPr>
          <w:rStyle w:val="Mocnowyrniony"/>
          <w:rFonts w:cs="Calibri"/>
          <w:color w:val="000000"/>
          <w:sz w:val="24"/>
          <w:szCs w:val="24"/>
        </w:rPr>
        <w:t>2</w:t>
      </w:r>
      <w:r w:rsidR="00BF3E81">
        <w:rPr>
          <w:rStyle w:val="Mocnowyrniony"/>
          <w:rFonts w:cs="Calibri"/>
          <w:color w:val="000000"/>
          <w:sz w:val="24"/>
          <w:szCs w:val="24"/>
        </w:rPr>
        <w:t>6</w:t>
      </w:r>
      <w:r>
        <w:rPr>
          <w:rStyle w:val="Mocnowyrniony"/>
          <w:rFonts w:cs="Calibri"/>
          <w:color w:val="000000"/>
          <w:sz w:val="24"/>
          <w:szCs w:val="24"/>
        </w:rPr>
        <w:t>.09</w:t>
      </w:r>
      <w:r w:rsidRPr="007747EA">
        <w:rPr>
          <w:rStyle w:val="Mocnowyrniony"/>
          <w:rFonts w:cs="Calibri"/>
          <w:color w:val="000000"/>
          <w:sz w:val="24"/>
          <w:szCs w:val="24"/>
        </w:rPr>
        <w:t>.202</w:t>
      </w:r>
      <w:r>
        <w:rPr>
          <w:rStyle w:val="Mocnowyrniony"/>
          <w:rFonts w:cs="Calibri"/>
          <w:color w:val="000000"/>
          <w:sz w:val="24"/>
          <w:szCs w:val="24"/>
        </w:rPr>
        <w:t>3</w:t>
      </w: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 r. godz. 11:00,</w:t>
      </w:r>
    </w:p>
    <w:p w14:paraId="296BF2C0" w14:textId="01A82CC6" w:rsidR="00732956" w:rsidRPr="007747EA" w:rsidRDefault="00732956" w:rsidP="00BF3E81">
      <w:pPr>
        <w:keepNext/>
        <w:numPr>
          <w:ilvl w:val="0"/>
          <w:numId w:val="23"/>
        </w:numPr>
        <w:tabs>
          <w:tab w:val="left" w:pos="0"/>
        </w:tabs>
        <w:spacing w:after="11"/>
        <w:ind w:left="851" w:hanging="436"/>
        <w:rPr>
          <w:rStyle w:val="Mocnowyrniony"/>
          <w:rFonts w:cs="Calibri"/>
          <w:color w:val="000000"/>
          <w:sz w:val="24"/>
          <w:szCs w:val="24"/>
        </w:rPr>
      </w:pP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otwarcia ofert na dzień </w:t>
      </w:r>
      <w:r>
        <w:rPr>
          <w:rStyle w:val="Mocnowyrniony"/>
          <w:rFonts w:cs="Calibri"/>
          <w:color w:val="000000"/>
          <w:sz w:val="24"/>
          <w:szCs w:val="24"/>
        </w:rPr>
        <w:t>2</w:t>
      </w:r>
      <w:r w:rsidR="00BF3E81">
        <w:rPr>
          <w:rStyle w:val="Mocnowyrniony"/>
          <w:rFonts w:cs="Calibri"/>
          <w:color w:val="000000"/>
          <w:sz w:val="24"/>
          <w:szCs w:val="24"/>
        </w:rPr>
        <w:t>6</w:t>
      </w:r>
      <w:r>
        <w:rPr>
          <w:rStyle w:val="Mocnowyrniony"/>
          <w:rFonts w:cs="Calibri"/>
          <w:color w:val="000000"/>
          <w:sz w:val="24"/>
          <w:szCs w:val="24"/>
        </w:rPr>
        <w:t>.09</w:t>
      </w:r>
      <w:r w:rsidRPr="007747EA">
        <w:rPr>
          <w:rStyle w:val="Mocnowyrniony"/>
          <w:rFonts w:cs="Calibri"/>
          <w:color w:val="000000"/>
          <w:sz w:val="24"/>
          <w:szCs w:val="24"/>
        </w:rPr>
        <w:t>.202</w:t>
      </w:r>
      <w:r>
        <w:rPr>
          <w:rStyle w:val="Mocnowyrniony"/>
          <w:rFonts w:cs="Calibri"/>
          <w:color w:val="000000"/>
          <w:sz w:val="24"/>
          <w:szCs w:val="24"/>
        </w:rPr>
        <w:t>3</w:t>
      </w:r>
      <w:r w:rsidRPr="007747EA">
        <w:rPr>
          <w:rStyle w:val="Mocnowyrniony"/>
          <w:rFonts w:cs="Calibri"/>
          <w:color w:val="000000"/>
          <w:sz w:val="24"/>
          <w:szCs w:val="24"/>
        </w:rPr>
        <w:t xml:space="preserve"> r. godz. 12:00.</w:t>
      </w:r>
    </w:p>
    <w:p w14:paraId="2D4C6E64" w14:textId="0D9AA3CF" w:rsidR="00732956" w:rsidRPr="007747EA" w:rsidRDefault="00732956" w:rsidP="00732956">
      <w:pPr>
        <w:spacing w:after="11"/>
        <w:ind w:left="284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7747E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W konsekwencji zmiany terminu składania i otwarcia ofert Zamawiający dokonuje zmiany następujących zapisów SWZ:</w:t>
      </w:r>
    </w:p>
    <w:p w14:paraId="51388F9D" w14:textId="0307531C" w:rsidR="00732956" w:rsidRDefault="00732956" w:rsidP="00732956">
      <w:pPr>
        <w:numPr>
          <w:ilvl w:val="0"/>
          <w:numId w:val="24"/>
        </w:numPr>
        <w:tabs>
          <w:tab w:val="left" w:pos="0"/>
        </w:tabs>
        <w:spacing w:after="11"/>
        <w:ind w:left="709"/>
        <w:rPr>
          <w:rFonts w:cs="Calibri"/>
          <w:bCs/>
          <w:sz w:val="24"/>
          <w:szCs w:val="24"/>
          <w:lang w:eastAsia="pl-PL"/>
        </w:rPr>
      </w:pPr>
      <w:r w:rsidRPr="00732956">
        <w:rPr>
          <w:rFonts w:cs="Calibri"/>
          <w:bCs/>
          <w:sz w:val="24"/>
          <w:szCs w:val="24"/>
          <w:lang w:eastAsia="pl-PL"/>
        </w:rPr>
        <w:t>Rozdzia</w:t>
      </w:r>
      <w:r w:rsidR="0092392D">
        <w:rPr>
          <w:rFonts w:cs="Calibri"/>
          <w:bCs/>
          <w:sz w:val="24"/>
          <w:szCs w:val="24"/>
          <w:lang w:eastAsia="pl-PL"/>
        </w:rPr>
        <w:t>ł</w:t>
      </w:r>
      <w:r w:rsidRPr="00732956">
        <w:rPr>
          <w:rFonts w:cs="Calibri"/>
          <w:bCs/>
          <w:sz w:val="24"/>
          <w:szCs w:val="24"/>
          <w:lang w:eastAsia="pl-PL"/>
        </w:rPr>
        <w:t xml:space="preserve"> X</w:t>
      </w:r>
      <w:r>
        <w:rPr>
          <w:rFonts w:cs="Calibri"/>
          <w:bCs/>
          <w:sz w:val="24"/>
          <w:szCs w:val="24"/>
          <w:lang w:eastAsia="pl-PL"/>
        </w:rPr>
        <w:t>I</w:t>
      </w:r>
      <w:r w:rsidRPr="00732956">
        <w:rPr>
          <w:rFonts w:cs="Calibri"/>
          <w:bCs/>
          <w:sz w:val="24"/>
          <w:szCs w:val="24"/>
          <w:lang w:eastAsia="pl-PL"/>
        </w:rPr>
        <w:t>. Termin związania ofertą pkt 1 SWZ otrzymuje brzmienie:</w:t>
      </w:r>
      <w:r>
        <w:rPr>
          <w:rFonts w:cs="Calibri"/>
          <w:bCs/>
          <w:sz w:val="24"/>
          <w:szCs w:val="24"/>
          <w:lang w:eastAsia="pl-PL"/>
        </w:rPr>
        <w:t xml:space="preserve"> </w:t>
      </w:r>
    </w:p>
    <w:p w14:paraId="6833C678" w14:textId="2D331381" w:rsidR="00732956" w:rsidRPr="00732956" w:rsidRDefault="00732956" w:rsidP="00732956">
      <w:pPr>
        <w:tabs>
          <w:tab w:val="left" w:pos="0"/>
        </w:tabs>
        <w:spacing w:after="11"/>
        <w:ind w:left="1134" w:hanging="425"/>
        <w:rPr>
          <w:rFonts w:cs="Calibri"/>
          <w:bCs/>
          <w:sz w:val="24"/>
          <w:szCs w:val="24"/>
          <w:lang w:eastAsia="pl-PL"/>
        </w:rPr>
      </w:pPr>
      <w:r>
        <w:rPr>
          <w:rFonts w:cs="Calibri"/>
          <w:bCs/>
          <w:sz w:val="24"/>
          <w:szCs w:val="24"/>
          <w:lang w:eastAsia="pl-PL"/>
        </w:rPr>
        <w:t>„</w:t>
      </w:r>
      <w:r w:rsidRPr="00732956">
        <w:rPr>
          <w:rFonts w:cs="Calibri"/>
          <w:bCs/>
          <w:sz w:val="24"/>
          <w:szCs w:val="24"/>
          <w:lang w:eastAsia="pl-PL"/>
        </w:rPr>
        <w:t>1.</w:t>
      </w:r>
      <w:r w:rsidRPr="00732956">
        <w:rPr>
          <w:rFonts w:cs="Calibri"/>
          <w:bCs/>
          <w:sz w:val="24"/>
          <w:szCs w:val="24"/>
          <w:lang w:eastAsia="pl-PL"/>
        </w:rPr>
        <w:tab/>
        <w:t xml:space="preserve">Wykonawca jest związany ofertą od dnia upływu terminu składania ofert, przy czym pierwszym dniem terminu związania ofertą jest dzień, w którym upływa termin składania ofert do dnia </w:t>
      </w:r>
      <w:r w:rsidR="00BF3E81">
        <w:rPr>
          <w:rFonts w:cs="Calibri"/>
          <w:bCs/>
          <w:sz w:val="24"/>
          <w:szCs w:val="24"/>
          <w:lang w:eastAsia="pl-PL"/>
        </w:rPr>
        <w:t>24</w:t>
      </w:r>
      <w:r w:rsidRPr="00732956">
        <w:rPr>
          <w:rFonts w:cs="Calibri"/>
          <w:bCs/>
          <w:sz w:val="24"/>
          <w:szCs w:val="24"/>
          <w:lang w:eastAsia="pl-PL"/>
        </w:rPr>
        <w:t>.12.2023 r.</w:t>
      </w:r>
      <w:r>
        <w:rPr>
          <w:rFonts w:cs="Calibri"/>
          <w:bCs/>
          <w:sz w:val="24"/>
          <w:szCs w:val="24"/>
          <w:lang w:eastAsia="pl-PL"/>
        </w:rPr>
        <w:t>”.</w:t>
      </w:r>
    </w:p>
    <w:p w14:paraId="111DAFED" w14:textId="66024CBB" w:rsidR="00732956" w:rsidRPr="00732956" w:rsidRDefault="00732956" w:rsidP="00732956">
      <w:pPr>
        <w:numPr>
          <w:ilvl w:val="0"/>
          <w:numId w:val="24"/>
        </w:numPr>
        <w:tabs>
          <w:tab w:val="left" w:pos="0"/>
        </w:tabs>
        <w:spacing w:after="11"/>
        <w:ind w:left="709"/>
        <w:rPr>
          <w:rFonts w:cs="Calibri"/>
          <w:bCs/>
          <w:sz w:val="24"/>
          <w:szCs w:val="24"/>
          <w:lang w:eastAsia="ar-SA"/>
        </w:rPr>
      </w:pPr>
      <w:r w:rsidRPr="00732956">
        <w:rPr>
          <w:rFonts w:cs="Calibri"/>
          <w:bCs/>
          <w:sz w:val="24"/>
          <w:szCs w:val="24"/>
          <w:lang w:eastAsia="ar-SA"/>
        </w:rPr>
        <w:t>Rozdzia</w:t>
      </w:r>
      <w:r w:rsidR="0092392D">
        <w:rPr>
          <w:rFonts w:cs="Calibri"/>
          <w:bCs/>
          <w:sz w:val="24"/>
          <w:szCs w:val="24"/>
          <w:lang w:eastAsia="ar-SA"/>
        </w:rPr>
        <w:t>ł</w:t>
      </w:r>
      <w:r w:rsidRPr="00732956">
        <w:rPr>
          <w:rFonts w:cs="Calibri"/>
          <w:bCs/>
          <w:sz w:val="24"/>
          <w:szCs w:val="24"/>
          <w:lang w:eastAsia="ar-SA"/>
        </w:rPr>
        <w:t xml:space="preserve"> XI</w:t>
      </w:r>
      <w:r w:rsidR="0092392D">
        <w:rPr>
          <w:rFonts w:cs="Calibri"/>
          <w:bCs/>
          <w:sz w:val="24"/>
          <w:szCs w:val="24"/>
          <w:lang w:eastAsia="ar-SA"/>
        </w:rPr>
        <w:t>I</w:t>
      </w:r>
      <w:r w:rsidRPr="00732956">
        <w:rPr>
          <w:rFonts w:cs="Calibri"/>
          <w:bCs/>
          <w:sz w:val="24"/>
          <w:szCs w:val="24"/>
          <w:lang w:eastAsia="ar-SA"/>
        </w:rPr>
        <w:t>I. Sposób oraz termin składania ofert pkt 2 SWZ</w:t>
      </w:r>
      <w:r w:rsidR="0092392D">
        <w:rPr>
          <w:rFonts w:cs="Calibri"/>
          <w:bCs/>
          <w:sz w:val="24"/>
          <w:szCs w:val="24"/>
          <w:lang w:eastAsia="ar-SA"/>
        </w:rPr>
        <w:t xml:space="preserve"> otrzymuje brzmienie</w:t>
      </w:r>
      <w:r w:rsidRPr="00732956">
        <w:rPr>
          <w:rFonts w:cs="Calibri"/>
          <w:bCs/>
          <w:sz w:val="24"/>
          <w:szCs w:val="24"/>
          <w:lang w:eastAsia="ar-SA"/>
        </w:rPr>
        <w:t>:</w:t>
      </w:r>
    </w:p>
    <w:p w14:paraId="247AD98B" w14:textId="0C669EDD" w:rsidR="00732956" w:rsidRPr="0092392D" w:rsidRDefault="0092392D" w:rsidP="00570FBF">
      <w:pPr>
        <w:tabs>
          <w:tab w:val="left" w:pos="1134"/>
        </w:tabs>
        <w:spacing w:after="0"/>
        <w:ind w:left="709"/>
        <w:rPr>
          <w:rFonts w:eastAsia="Calibri" w:cs="Calibri"/>
          <w:bCs/>
          <w:color w:val="000000"/>
          <w:spacing w:val="-4"/>
          <w:sz w:val="24"/>
          <w:szCs w:val="24"/>
        </w:rPr>
      </w:pPr>
      <w:r w:rsidRPr="0092392D">
        <w:rPr>
          <w:rFonts w:eastAsia="Calibri" w:cs="Calibri"/>
          <w:bCs/>
          <w:color w:val="000000"/>
          <w:spacing w:val="-4"/>
          <w:sz w:val="24"/>
          <w:szCs w:val="24"/>
        </w:rPr>
        <w:t>„2.</w:t>
      </w:r>
      <w:r w:rsidRPr="0092392D">
        <w:rPr>
          <w:rFonts w:eastAsia="Calibri" w:cs="Calibri"/>
          <w:bCs/>
          <w:color w:val="000000"/>
          <w:spacing w:val="-4"/>
          <w:sz w:val="24"/>
          <w:szCs w:val="24"/>
        </w:rPr>
        <w:tab/>
        <w:t>Ofertę wraz z wymaganymi załącznikami należy złożyć w terminie do 2</w:t>
      </w:r>
      <w:r w:rsidR="00BF3E81">
        <w:rPr>
          <w:rFonts w:eastAsia="Calibri" w:cs="Calibri"/>
          <w:bCs/>
          <w:color w:val="000000"/>
          <w:spacing w:val="-4"/>
          <w:sz w:val="24"/>
          <w:szCs w:val="24"/>
        </w:rPr>
        <w:t>6</w:t>
      </w:r>
      <w:r w:rsidRPr="0092392D">
        <w:rPr>
          <w:rFonts w:eastAsia="Calibri" w:cs="Calibri"/>
          <w:bCs/>
          <w:color w:val="000000"/>
          <w:spacing w:val="-4"/>
          <w:sz w:val="24"/>
          <w:szCs w:val="24"/>
        </w:rPr>
        <w:t>.09.2023 r., do godz. 11:00.”.</w:t>
      </w:r>
    </w:p>
    <w:p w14:paraId="17F86D02" w14:textId="1EDBE89E" w:rsidR="00732956" w:rsidRPr="00732956" w:rsidRDefault="00732956" w:rsidP="00570FBF">
      <w:pPr>
        <w:keepNext/>
        <w:numPr>
          <w:ilvl w:val="0"/>
          <w:numId w:val="24"/>
        </w:numPr>
        <w:tabs>
          <w:tab w:val="left" w:pos="0"/>
        </w:tabs>
        <w:spacing w:after="11"/>
        <w:ind w:left="709"/>
        <w:rPr>
          <w:rFonts w:cs="Calibri"/>
          <w:bCs/>
          <w:sz w:val="24"/>
          <w:szCs w:val="24"/>
          <w:lang w:eastAsia="ar-SA"/>
        </w:rPr>
      </w:pPr>
      <w:r w:rsidRPr="00732956">
        <w:rPr>
          <w:rFonts w:cs="Calibri"/>
          <w:bCs/>
          <w:sz w:val="24"/>
          <w:szCs w:val="24"/>
          <w:lang w:eastAsia="ar-SA"/>
        </w:rPr>
        <w:lastRenderedPageBreak/>
        <w:t>Rozdzia</w:t>
      </w:r>
      <w:r w:rsidR="0092392D">
        <w:rPr>
          <w:rFonts w:cs="Calibri"/>
          <w:bCs/>
          <w:sz w:val="24"/>
          <w:szCs w:val="24"/>
          <w:lang w:eastAsia="ar-SA"/>
        </w:rPr>
        <w:t>ł</w:t>
      </w:r>
      <w:r w:rsidRPr="00732956">
        <w:rPr>
          <w:rFonts w:cs="Calibri"/>
          <w:bCs/>
          <w:sz w:val="24"/>
          <w:szCs w:val="24"/>
          <w:lang w:eastAsia="ar-SA"/>
        </w:rPr>
        <w:t xml:space="preserve"> XI</w:t>
      </w:r>
      <w:r w:rsidR="0092392D">
        <w:rPr>
          <w:rFonts w:cs="Calibri"/>
          <w:bCs/>
          <w:sz w:val="24"/>
          <w:szCs w:val="24"/>
          <w:lang w:eastAsia="ar-SA"/>
        </w:rPr>
        <w:t>V</w:t>
      </w:r>
      <w:r w:rsidRPr="00732956">
        <w:rPr>
          <w:rFonts w:cs="Calibri"/>
          <w:bCs/>
          <w:sz w:val="24"/>
          <w:szCs w:val="24"/>
          <w:lang w:eastAsia="ar-SA"/>
        </w:rPr>
        <w:t xml:space="preserve">. </w:t>
      </w:r>
      <w:r w:rsidRPr="00732956">
        <w:rPr>
          <w:rFonts w:cs="Calibri"/>
          <w:bCs/>
          <w:sz w:val="24"/>
          <w:szCs w:val="24"/>
        </w:rPr>
        <w:t>Termin otwarcia ofert</w:t>
      </w:r>
      <w:r w:rsidRPr="00732956">
        <w:rPr>
          <w:rFonts w:cs="Calibri"/>
          <w:bCs/>
          <w:sz w:val="24"/>
          <w:szCs w:val="24"/>
          <w:lang w:eastAsia="ar-SA"/>
        </w:rPr>
        <w:t xml:space="preserve"> pkt 1 SWZ</w:t>
      </w:r>
      <w:r w:rsidR="0092392D">
        <w:rPr>
          <w:rFonts w:cs="Calibri"/>
          <w:bCs/>
          <w:sz w:val="24"/>
          <w:szCs w:val="24"/>
          <w:lang w:eastAsia="ar-SA"/>
        </w:rPr>
        <w:t xml:space="preserve"> otrzymuje brzmienie</w:t>
      </w:r>
      <w:r w:rsidRPr="00732956">
        <w:rPr>
          <w:rFonts w:cs="Calibri"/>
          <w:bCs/>
          <w:sz w:val="24"/>
          <w:szCs w:val="24"/>
          <w:lang w:eastAsia="ar-SA"/>
        </w:rPr>
        <w:t xml:space="preserve">: </w:t>
      </w:r>
    </w:p>
    <w:p w14:paraId="1D946E1A" w14:textId="2A9B239A" w:rsidR="00732956" w:rsidRPr="00732956" w:rsidRDefault="0092392D" w:rsidP="00570FBF">
      <w:pPr>
        <w:pStyle w:val="Akapitzlist"/>
        <w:keepNext/>
        <w:autoSpaceDE w:val="0"/>
        <w:autoSpaceDN w:val="0"/>
        <w:adjustRightInd w:val="0"/>
        <w:spacing w:after="0"/>
        <w:ind w:left="1134" w:hanging="425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„</w:t>
      </w:r>
      <w:r w:rsidRPr="0092392D">
        <w:rPr>
          <w:rFonts w:cs="Calibri"/>
          <w:bCs/>
          <w:color w:val="000000"/>
          <w:sz w:val="24"/>
          <w:szCs w:val="24"/>
        </w:rPr>
        <w:t>1.</w:t>
      </w:r>
      <w:r w:rsidRPr="0092392D">
        <w:rPr>
          <w:rFonts w:cs="Calibri"/>
          <w:bCs/>
          <w:color w:val="000000"/>
          <w:sz w:val="24"/>
          <w:szCs w:val="24"/>
        </w:rPr>
        <w:tab/>
        <w:t>Otwarcie ofert nastąpi niezwłocznie po upływie terminu składania Ofert, tj.</w:t>
      </w:r>
      <w:r>
        <w:rPr>
          <w:rFonts w:cs="Calibri"/>
          <w:bCs/>
          <w:color w:val="000000"/>
          <w:sz w:val="24"/>
          <w:szCs w:val="24"/>
        </w:rPr>
        <w:t> </w:t>
      </w:r>
      <w:r w:rsidRPr="0092392D">
        <w:rPr>
          <w:rFonts w:cs="Calibri"/>
          <w:bCs/>
          <w:color w:val="000000"/>
          <w:sz w:val="24"/>
          <w:szCs w:val="24"/>
        </w:rPr>
        <w:t>w</w:t>
      </w:r>
      <w:r>
        <w:rPr>
          <w:rFonts w:cs="Calibri"/>
          <w:bCs/>
          <w:color w:val="000000"/>
          <w:sz w:val="24"/>
          <w:szCs w:val="24"/>
        </w:rPr>
        <w:t> </w:t>
      </w:r>
      <w:r w:rsidRPr="0092392D">
        <w:rPr>
          <w:rFonts w:cs="Calibri"/>
          <w:bCs/>
          <w:color w:val="000000"/>
          <w:sz w:val="24"/>
          <w:szCs w:val="24"/>
        </w:rPr>
        <w:t xml:space="preserve">dniu </w:t>
      </w:r>
      <w:r>
        <w:rPr>
          <w:rFonts w:cs="Calibri"/>
          <w:bCs/>
          <w:color w:val="000000"/>
          <w:sz w:val="24"/>
          <w:szCs w:val="24"/>
        </w:rPr>
        <w:t>2</w:t>
      </w:r>
      <w:r w:rsidR="00BF3E81">
        <w:rPr>
          <w:rFonts w:cs="Calibri"/>
          <w:bCs/>
          <w:color w:val="000000"/>
          <w:sz w:val="24"/>
          <w:szCs w:val="24"/>
        </w:rPr>
        <w:t>6</w:t>
      </w:r>
      <w:r w:rsidRPr="0092392D">
        <w:rPr>
          <w:rFonts w:cs="Calibri"/>
          <w:bCs/>
          <w:color w:val="000000"/>
          <w:sz w:val="24"/>
          <w:szCs w:val="24"/>
        </w:rPr>
        <w:t>.09.2023 r. o godz. 12:00 Otwarcie Ofert dokonywane jest przez odszyfrowanie i otwarcie Ofert.</w:t>
      </w:r>
      <w:r w:rsidR="00732956" w:rsidRPr="00732956">
        <w:rPr>
          <w:rFonts w:cs="Calibri"/>
          <w:bCs/>
          <w:color w:val="000000"/>
          <w:sz w:val="24"/>
          <w:szCs w:val="24"/>
        </w:rPr>
        <w:t>”</w:t>
      </w:r>
      <w:r>
        <w:rPr>
          <w:rFonts w:cs="Calibri"/>
          <w:bCs/>
          <w:color w:val="000000"/>
          <w:sz w:val="24"/>
          <w:szCs w:val="24"/>
        </w:rPr>
        <w:t>.</w:t>
      </w:r>
    </w:p>
    <w:p w14:paraId="6250913E" w14:textId="77777777" w:rsidR="00732956" w:rsidRPr="00732956" w:rsidRDefault="00732956" w:rsidP="00732956">
      <w:pPr>
        <w:spacing w:after="11"/>
        <w:ind w:left="709"/>
        <w:rPr>
          <w:rStyle w:val="Mocnowyrniony"/>
          <w:rFonts w:cs="Calibri"/>
          <w:b w:val="0"/>
          <w:color w:val="000000"/>
          <w:sz w:val="24"/>
          <w:szCs w:val="24"/>
        </w:rPr>
      </w:pPr>
    </w:p>
    <w:p w14:paraId="1BF2FB3C" w14:textId="47E0E166" w:rsidR="001000AA" w:rsidRPr="00072FF4" w:rsidRDefault="00732956" w:rsidP="00732956">
      <w:pPr>
        <w:spacing w:after="120"/>
        <w:rPr>
          <w:rFonts w:cs="Calibri"/>
          <w:sz w:val="24"/>
          <w:szCs w:val="24"/>
          <w:lang w:eastAsia="pl-PL"/>
        </w:rPr>
      </w:pPr>
      <w:r w:rsidRPr="007747E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Pozostałe zapisy SWZ nie ulegają zmianie.</w:t>
      </w:r>
    </w:p>
    <w:sectPr w:rsidR="001000AA" w:rsidRPr="00072FF4" w:rsidSect="001000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25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9BB9" w14:textId="77777777" w:rsidR="00B05137" w:rsidRDefault="00B05137">
      <w:pPr>
        <w:spacing w:after="0" w:line="240" w:lineRule="auto"/>
      </w:pPr>
      <w:r>
        <w:separator/>
      </w:r>
    </w:p>
  </w:endnote>
  <w:endnote w:type="continuationSeparator" w:id="0">
    <w:p w14:paraId="359DB7FA" w14:textId="77777777" w:rsidR="00B05137" w:rsidRDefault="00B0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47A57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5023295" wp14:editId="005B5B45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5" name="Obraz 25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C02B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7358AC0" wp14:editId="0C18D393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27" name="Obraz 2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5B72" w14:textId="77777777" w:rsidR="00B05137" w:rsidRDefault="00B051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33A13" w14:textId="77777777" w:rsidR="00B05137" w:rsidRDefault="00B0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CE94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316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BC91113" wp14:editId="7BA0E9C8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9E54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903D6"/>
    <w:multiLevelType w:val="hybridMultilevel"/>
    <w:tmpl w:val="F68A95A2"/>
    <w:lvl w:ilvl="0" w:tplc="8D30DC3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51676"/>
    <w:multiLevelType w:val="hybridMultilevel"/>
    <w:tmpl w:val="C34E017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35C12"/>
    <w:multiLevelType w:val="hybridMultilevel"/>
    <w:tmpl w:val="DDB2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C6F47"/>
    <w:multiLevelType w:val="hybridMultilevel"/>
    <w:tmpl w:val="A53216D2"/>
    <w:lvl w:ilvl="0" w:tplc="0415000B">
      <w:start w:val="1"/>
      <w:numFmt w:val="bullet"/>
      <w:lvlText w:val=""/>
      <w:lvlJc w:val="left"/>
      <w:pPr>
        <w:ind w:left="1080" w:hanging="72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3A0D"/>
    <w:multiLevelType w:val="hybridMultilevel"/>
    <w:tmpl w:val="10561838"/>
    <w:lvl w:ilvl="0" w:tplc="8A705AD0">
      <w:start w:val="1"/>
      <w:numFmt w:val="decimalZero"/>
      <w:lvlText w:val="ATK-%1."/>
      <w:lvlJc w:val="left"/>
      <w:pPr>
        <w:ind w:left="851" w:hanging="85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8D3CEC"/>
    <w:multiLevelType w:val="hybridMultilevel"/>
    <w:tmpl w:val="496E92F0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5"/>
  </w:num>
  <w:num w:numId="5">
    <w:abstractNumId w:val="1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16"/>
  </w:num>
  <w:num w:numId="14">
    <w:abstractNumId w:val="12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10"/>
  </w:num>
  <w:num w:numId="20">
    <w:abstractNumId w:val="5"/>
  </w:num>
  <w:num w:numId="21">
    <w:abstractNumId w:val="2"/>
  </w:num>
  <w:num w:numId="22">
    <w:abstractNumId w:val="8"/>
  </w:num>
  <w:num w:numId="23">
    <w:abstractNumId w:val="17"/>
  </w:num>
  <w:num w:numId="24">
    <w:abstractNumId w:val="21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72FF4"/>
    <w:rsid w:val="00091E7E"/>
    <w:rsid w:val="00092842"/>
    <w:rsid w:val="000A34FB"/>
    <w:rsid w:val="000B09F4"/>
    <w:rsid w:val="001000AA"/>
    <w:rsid w:val="00132623"/>
    <w:rsid w:val="0014029D"/>
    <w:rsid w:val="00161E95"/>
    <w:rsid w:val="00163201"/>
    <w:rsid w:val="00181466"/>
    <w:rsid w:val="001E4E74"/>
    <w:rsid w:val="002461E7"/>
    <w:rsid w:val="00265742"/>
    <w:rsid w:val="002A3319"/>
    <w:rsid w:val="002D2710"/>
    <w:rsid w:val="002E0D36"/>
    <w:rsid w:val="0032268E"/>
    <w:rsid w:val="00323140"/>
    <w:rsid w:val="003273A8"/>
    <w:rsid w:val="0033435F"/>
    <w:rsid w:val="00342BCC"/>
    <w:rsid w:val="003436A6"/>
    <w:rsid w:val="00366262"/>
    <w:rsid w:val="00387E8F"/>
    <w:rsid w:val="003B48DF"/>
    <w:rsid w:val="003B68DC"/>
    <w:rsid w:val="003E5F06"/>
    <w:rsid w:val="0041072C"/>
    <w:rsid w:val="004124EF"/>
    <w:rsid w:val="0043376A"/>
    <w:rsid w:val="00454EFE"/>
    <w:rsid w:val="00496CB5"/>
    <w:rsid w:val="004A5295"/>
    <w:rsid w:val="004D7961"/>
    <w:rsid w:val="00502415"/>
    <w:rsid w:val="005070F0"/>
    <w:rsid w:val="00542D99"/>
    <w:rsid w:val="00546DEE"/>
    <w:rsid w:val="00567974"/>
    <w:rsid w:val="00570FBF"/>
    <w:rsid w:val="005B2D4A"/>
    <w:rsid w:val="005B4445"/>
    <w:rsid w:val="005E09D8"/>
    <w:rsid w:val="00620F16"/>
    <w:rsid w:val="0062731B"/>
    <w:rsid w:val="00633FB3"/>
    <w:rsid w:val="00644574"/>
    <w:rsid w:val="00645141"/>
    <w:rsid w:val="006771E9"/>
    <w:rsid w:val="006B3880"/>
    <w:rsid w:val="006E60D7"/>
    <w:rsid w:val="00732956"/>
    <w:rsid w:val="0079581E"/>
    <w:rsid w:val="007B4FF4"/>
    <w:rsid w:val="007C0BE1"/>
    <w:rsid w:val="007D1C8E"/>
    <w:rsid w:val="007E2C1D"/>
    <w:rsid w:val="007E3988"/>
    <w:rsid w:val="0080060F"/>
    <w:rsid w:val="008202B0"/>
    <w:rsid w:val="00821B19"/>
    <w:rsid w:val="00825AE5"/>
    <w:rsid w:val="008613BA"/>
    <w:rsid w:val="00866193"/>
    <w:rsid w:val="00894D9E"/>
    <w:rsid w:val="008A2B98"/>
    <w:rsid w:val="008C0DD2"/>
    <w:rsid w:val="008C39CF"/>
    <w:rsid w:val="008C6298"/>
    <w:rsid w:val="008F09E6"/>
    <w:rsid w:val="0092392D"/>
    <w:rsid w:val="0092417A"/>
    <w:rsid w:val="0092652F"/>
    <w:rsid w:val="009269D2"/>
    <w:rsid w:val="00945190"/>
    <w:rsid w:val="00946765"/>
    <w:rsid w:val="009640ED"/>
    <w:rsid w:val="00990130"/>
    <w:rsid w:val="009F3223"/>
    <w:rsid w:val="00A23326"/>
    <w:rsid w:val="00A45B62"/>
    <w:rsid w:val="00A94D81"/>
    <w:rsid w:val="00AA1C80"/>
    <w:rsid w:val="00AC1539"/>
    <w:rsid w:val="00AE259D"/>
    <w:rsid w:val="00B04DF2"/>
    <w:rsid w:val="00B05137"/>
    <w:rsid w:val="00B26F75"/>
    <w:rsid w:val="00B66B2F"/>
    <w:rsid w:val="00B71470"/>
    <w:rsid w:val="00B90A5A"/>
    <w:rsid w:val="00BB2DFC"/>
    <w:rsid w:val="00BD2BDD"/>
    <w:rsid w:val="00BF3E81"/>
    <w:rsid w:val="00C00AC8"/>
    <w:rsid w:val="00C72B8F"/>
    <w:rsid w:val="00C75EF1"/>
    <w:rsid w:val="00CA409C"/>
    <w:rsid w:val="00CB4758"/>
    <w:rsid w:val="00D44CF7"/>
    <w:rsid w:val="00D526F6"/>
    <w:rsid w:val="00D54134"/>
    <w:rsid w:val="00D6570A"/>
    <w:rsid w:val="00D9647D"/>
    <w:rsid w:val="00DF0878"/>
    <w:rsid w:val="00E01178"/>
    <w:rsid w:val="00E302A6"/>
    <w:rsid w:val="00E441DC"/>
    <w:rsid w:val="00EA01DA"/>
    <w:rsid w:val="00EC5246"/>
    <w:rsid w:val="00EE2184"/>
    <w:rsid w:val="00F21BFA"/>
    <w:rsid w:val="00F4062E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4D31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  <w:style w:type="character" w:customStyle="1" w:styleId="Mocnowyrniony">
    <w:name w:val="Mocno wyróżniony"/>
    <w:qFormat/>
    <w:rsid w:val="00100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0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2</cp:revision>
  <cp:lastPrinted>2023-09-13T12:17:00Z</cp:lastPrinted>
  <dcterms:created xsi:type="dcterms:W3CDTF">2023-09-14T05:57:00Z</dcterms:created>
  <dcterms:modified xsi:type="dcterms:W3CDTF">2023-09-14T05:57:00Z</dcterms:modified>
</cp:coreProperties>
</file>