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96E82" w14:textId="77777777" w:rsidR="00787535" w:rsidRDefault="00787535" w:rsidP="00787535">
      <w:pPr>
        <w:pStyle w:val="Tekstpodstawowy21"/>
        <w:suppressAutoHyphens/>
        <w:spacing w:line="276" w:lineRule="auto"/>
        <w:ind w:left="0" w:firstLine="0"/>
        <w:jc w:val="right"/>
        <w:rPr>
          <w:rFonts w:cs="Arial"/>
          <w:b/>
          <w:sz w:val="22"/>
          <w:szCs w:val="22"/>
        </w:rPr>
      </w:pPr>
      <w:r w:rsidRPr="00C12CDB">
        <w:rPr>
          <w:rFonts w:cs="Arial"/>
          <w:b/>
          <w:sz w:val="22"/>
          <w:szCs w:val="22"/>
        </w:rPr>
        <w:t xml:space="preserve">Załącznik nr 2 </w:t>
      </w:r>
    </w:p>
    <w:p w14:paraId="5E41636A" w14:textId="77777777" w:rsidR="00787535" w:rsidRPr="00C12CDB" w:rsidRDefault="00787535" w:rsidP="00787535">
      <w:pPr>
        <w:pStyle w:val="Tekstpodstawowy21"/>
        <w:suppressAutoHyphens/>
        <w:spacing w:line="276" w:lineRule="auto"/>
        <w:ind w:left="0" w:firstLine="0"/>
        <w:jc w:val="right"/>
        <w:rPr>
          <w:rFonts w:cs="Arial"/>
          <w:b/>
          <w:sz w:val="22"/>
          <w:szCs w:val="22"/>
        </w:rPr>
      </w:pPr>
      <w:r w:rsidRPr="00C12CDB">
        <w:rPr>
          <w:rFonts w:cs="Arial"/>
          <w:b/>
          <w:sz w:val="22"/>
          <w:szCs w:val="22"/>
        </w:rPr>
        <w:t>do Umowy</w:t>
      </w:r>
      <w:r>
        <w:rPr>
          <w:rFonts w:cs="Arial"/>
          <w:b/>
          <w:sz w:val="22"/>
          <w:szCs w:val="22"/>
        </w:rPr>
        <w:t xml:space="preserve"> najmu</w:t>
      </w:r>
      <w:r w:rsidRPr="00C12CDB">
        <w:rPr>
          <w:rFonts w:cs="Arial"/>
          <w:b/>
          <w:sz w:val="22"/>
          <w:szCs w:val="22"/>
        </w:rPr>
        <w:t xml:space="preserve"> nr …………</w:t>
      </w:r>
      <w:r>
        <w:rPr>
          <w:rFonts w:cs="Arial"/>
          <w:b/>
          <w:sz w:val="22"/>
          <w:szCs w:val="22"/>
        </w:rPr>
        <w:t>……..</w:t>
      </w:r>
      <w:r w:rsidRPr="00C12CDB">
        <w:rPr>
          <w:rFonts w:cs="Arial"/>
          <w:b/>
          <w:sz w:val="22"/>
          <w:szCs w:val="22"/>
        </w:rPr>
        <w:t>………….</w:t>
      </w:r>
    </w:p>
    <w:p w14:paraId="0D8FD2D2" w14:textId="77777777" w:rsidR="00787535" w:rsidRPr="00C12CDB" w:rsidRDefault="00787535" w:rsidP="00787535">
      <w:pPr>
        <w:pStyle w:val="Tekstpodstawowy21"/>
        <w:suppressAutoHyphens/>
        <w:spacing w:line="240" w:lineRule="auto"/>
        <w:ind w:left="0" w:firstLine="0"/>
        <w:jc w:val="right"/>
        <w:rPr>
          <w:rFonts w:cs="Arial"/>
          <w:b/>
          <w:sz w:val="22"/>
          <w:szCs w:val="22"/>
        </w:rPr>
      </w:pPr>
    </w:p>
    <w:p w14:paraId="619778AF" w14:textId="77777777" w:rsidR="00787535" w:rsidRPr="00C12CDB" w:rsidRDefault="00787535" w:rsidP="00787535">
      <w:pPr>
        <w:pStyle w:val="Tekstpodstawowy21"/>
        <w:suppressAutoHyphens/>
        <w:spacing w:line="240" w:lineRule="auto"/>
        <w:ind w:left="0" w:firstLine="0"/>
        <w:jc w:val="center"/>
        <w:rPr>
          <w:rFonts w:cs="Arial"/>
          <w:b/>
          <w:sz w:val="22"/>
          <w:szCs w:val="22"/>
        </w:rPr>
      </w:pPr>
    </w:p>
    <w:p w14:paraId="0AFDCCD6" w14:textId="77777777" w:rsidR="00787535" w:rsidRPr="00076A0F" w:rsidRDefault="00787535" w:rsidP="00787535">
      <w:pPr>
        <w:pStyle w:val="Tekstpodstawowy21"/>
        <w:suppressAutoHyphens/>
        <w:spacing w:line="240" w:lineRule="auto"/>
        <w:ind w:left="0" w:firstLine="0"/>
        <w:jc w:val="center"/>
        <w:rPr>
          <w:rFonts w:cs="Arial"/>
          <w:b/>
          <w:sz w:val="22"/>
          <w:szCs w:val="22"/>
        </w:rPr>
      </w:pPr>
      <w:r w:rsidRPr="00076A0F">
        <w:rPr>
          <w:rFonts w:cs="Arial"/>
          <w:b/>
          <w:color w:val="000000"/>
          <w:sz w:val="22"/>
          <w:szCs w:val="22"/>
        </w:rPr>
        <w:t>Minimalne wymagania techniczne opraw LED</w:t>
      </w:r>
    </w:p>
    <w:p w14:paraId="45A7D980" w14:textId="77777777" w:rsidR="00787535" w:rsidRPr="00C12CDB" w:rsidRDefault="00787535" w:rsidP="00787535">
      <w:pPr>
        <w:pStyle w:val="Tekstpodstawowy21"/>
        <w:suppressAutoHyphens/>
        <w:spacing w:line="240" w:lineRule="auto"/>
        <w:ind w:left="0" w:firstLine="0"/>
        <w:jc w:val="right"/>
        <w:rPr>
          <w:rFonts w:cs="Arial"/>
          <w:b/>
          <w:sz w:val="22"/>
          <w:szCs w:val="22"/>
        </w:rPr>
      </w:pPr>
    </w:p>
    <w:p w14:paraId="534FE056" w14:textId="77777777" w:rsidR="00787535" w:rsidRPr="00C12CDB" w:rsidRDefault="00787535" w:rsidP="00787535">
      <w:pPr>
        <w:pStyle w:val="Tekstpodstawowy21"/>
        <w:suppressAutoHyphens/>
        <w:spacing w:line="240" w:lineRule="auto"/>
        <w:ind w:left="0" w:firstLine="0"/>
        <w:jc w:val="right"/>
        <w:rPr>
          <w:rFonts w:cs="Arial"/>
          <w:b/>
          <w:sz w:val="22"/>
          <w:szCs w:val="22"/>
        </w:rPr>
      </w:pPr>
    </w:p>
    <w:p w14:paraId="3A5E1F1B" w14:textId="77777777" w:rsidR="00787535" w:rsidRPr="00076A0F" w:rsidRDefault="00787535" w:rsidP="00787535">
      <w:pPr>
        <w:pStyle w:val="Akapitzlist"/>
        <w:numPr>
          <w:ilvl w:val="0"/>
          <w:numId w:val="1"/>
        </w:numPr>
        <w:spacing w:line="240" w:lineRule="auto"/>
        <w:rPr>
          <w:szCs w:val="22"/>
        </w:rPr>
      </w:pPr>
      <w:r w:rsidRPr="00076A0F">
        <w:rPr>
          <w:szCs w:val="22"/>
        </w:rPr>
        <w:t xml:space="preserve">Oprawa powinna zapewniać drogowy rozsył światła. Dopuszcza się inne rozsyły światła przy inwestycjach poza pasem drogowym, m.in. parki, osiedla mieszkaniowe, ścieżki rowerowe, przejścia dla pieszych. </w:t>
      </w:r>
    </w:p>
    <w:p w14:paraId="47DC1CCF" w14:textId="77777777" w:rsidR="00787535" w:rsidRPr="00076A0F" w:rsidRDefault="00787535" w:rsidP="00787535">
      <w:pPr>
        <w:pStyle w:val="Akapitzlist"/>
        <w:numPr>
          <w:ilvl w:val="0"/>
          <w:numId w:val="1"/>
        </w:numPr>
        <w:spacing w:line="240" w:lineRule="auto"/>
        <w:rPr>
          <w:szCs w:val="22"/>
        </w:rPr>
      </w:pPr>
      <w:r w:rsidRPr="00076A0F">
        <w:rPr>
          <w:szCs w:val="22"/>
        </w:rPr>
        <w:t>Wydajność świetlna oprawy powinna być nie mniejsza niż 130 lm z 1W po uwzględnieniu strat w układzie optycznym oraz zasilaniu.</w:t>
      </w:r>
    </w:p>
    <w:p w14:paraId="624A0E69" w14:textId="77777777" w:rsidR="00787535" w:rsidRPr="00076A0F" w:rsidRDefault="00787535" w:rsidP="00787535">
      <w:pPr>
        <w:pStyle w:val="Akapitzlist"/>
        <w:numPr>
          <w:ilvl w:val="0"/>
          <w:numId w:val="1"/>
        </w:numPr>
        <w:spacing w:line="240" w:lineRule="auto"/>
        <w:rPr>
          <w:szCs w:val="22"/>
        </w:rPr>
      </w:pPr>
      <w:r w:rsidRPr="00076A0F">
        <w:rPr>
          <w:szCs w:val="22"/>
        </w:rPr>
        <w:t>Temperatura barwowa światła oprawy powinna być neutralna, dobrana wg potrzeb zamawiającego w zakresie barwa ciepła, neutralna i zimna. Gdy nie ma konkretnych wskazań należy korzystać z barwy neutralnej.</w:t>
      </w:r>
    </w:p>
    <w:p w14:paraId="4E17AA7C" w14:textId="77777777" w:rsidR="00787535" w:rsidRPr="00076A0F" w:rsidRDefault="00787535" w:rsidP="00787535">
      <w:pPr>
        <w:pStyle w:val="Akapitzlist"/>
        <w:spacing w:line="240" w:lineRule="auto"/>
        <w:ind w:left="501"/>
        <w:rPr>
          <w:szCs w:val="22"/>
        </w:rPr>
      </w:pPr>
      <w:r w:rsidRPr="00076A0F">
        <w:rPr>
          <w:noProof/>
          <w:szCs w:val="22"/>
          <w:lang w:eastAsia="pl-PL" w:bidi="ar-SA"/>
        </w:rPr>
        <w:drawing>
          <wp:inline distT="0" distB="0" distL="0" distR="0" wp14:anchorId="544CFD79" wp14:editId="28A4F73B">
            <wp:extent cx="3486150" cy="12096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436CD" w14:textId="77777777" w:rsidR="00787535" w:rsidRPr="00076A0F" w:rsidRDefault="00787535" w:rsidP="00787535">
      <w:pPr>
        <w:pStyle w:val="Akapitzlist"/>
        <w:spacing w:line="240" w:lineRule="auto"/>
        <w:ind w:left="501"/>
        <w:rPr>
          <w:szCs w:val="22"/>
        </w:rPr>
      </w:pPr>
    </w:p>
    <w:p w14:paraId="3FE75BEC" w14:textId="77777777" w:rsidR="00787535" w:rsidRPr="00076A0F" w:rsidRDefault="00787535" w:rsidP="00787535">
      <w:pPr>
        <w:pStyle w:val="Akapitzlist"/>
        <w:numPr>
          <w:ilvl w:val="0"/>
          <w:numId w:val="1"/>
        </w:numPr>
        <w:spacing w:line="240" w:lineRule="auto"/>
        <w:rPr>
          <w:szCs w:val="22"/>
        </w:rPr>
      </w:pPr>
      <w:r w:rsidRPr="00076A0F">
        <w:rPr>
          <w:szCs w:val="22"/>
        </w:rPr>
        <w:t>Współczynnik oddawania barw powinien być większy od Ra (CRI)&gt;70.</w:t>
      </w:r>
    </w:p>
    <w:p w14:paraId="29BE338B" w14:textId="77777777" w:rsidR="00787535" w:rsidRPr="00076A0F" w:rsidRDefault="00787535" w:rsidP="00787535">
      <w:pPr>
        <w:pStyle w:val="Akapitzlist"/>
        <w:numPr>
          <w:ilvl w:val="0"/>
          <w:numId w:val="1"/>
        </w:numPr>
        <w:spacing w:line="240" w:lineRule="auto"/>
        <w:rPr>
          <w:szCs w:val="22"/>
        </w:rPr>
      </w:pPr>
      <w:r w:rsidRPr="00076A0F">
        <w:rPr>
          <w:szCs w:val="22"/>
        </w:rPr>
        <w:t>Oprawa przy ustawieniu 00 (poziomym) nie może emitować światła w górną półprzestrzeń - zgodnie z Rozporządzeniem Komisji Europejskiej (WE) nr 245/2009 z 18 marca 2009 r.</w:t>
      </w:r>
    </w:p>
    <w:p w14:paraId="00CC27ED" w14:textId="77777777" w:rsidR="00787535" w:rsidRPr="00076A0F" w:rsidRDefault="00787535" w:rsidP="00787535">
      <w:pPr>
        <w:pStyle w:val="Akapitzlist"/>
        <w:numPr>
          <w:ilvl w:val="0"/>
          <w:numId w:val="1"/>
        </w:numPr>
        <w:spacing w:line="240" w:lineRule="auto"/>
        <w:rPr>
          <w:szCs w:val="22"/>
        </w:rPr>
      </w:pPr>
      <w:r w:rsidRPr="00076A0F">
        <w:rPr>
          <w:szCs w:val="22"/>
        </w:rPr>
        <w:t xml:space="preserve">Oprawa o stałym poborze mocy. Oprawa musi posiadać możliwość dopasowania poboru mocy oraz strumienia świetlnego do indywidualnych wymagań klienta poprzez fabryczne zaprogramowanie redukcji mocy i strumienia świetlnego dopasowanej do indywidualnych potrzeb klienta (tj. oprawy ze 100% do wskazanej przez Klienta w godzinach późnonocnych zgodnie </w:t>
      </w:r>
      <w:r w:rsidRPr="00076A0F">
        <w:rPr>
          <w:szCs w:val="22"/>
        </w:rPr>
        <w:br/>
        <w:t xml:space="preserve">z normą PN–EN 13201) bez zastosowania dodatkowych sterowników zewnętrznych. </w:t>
      </w:r>
      <w:r w:rsidRPr="00076A0F">
        <w:rPr>
          <w:szCs w:val="22"/>
        </w:rPr>
        <w:br/>
        <w:t xml:space="preserve">W przypadku zastosowania dodatkowych systemów sterowania, oprawa musi mieć możliwość współpracy z zewnętrznym systemem sterowania. </w:t>
      </w:r>
    </w:p>
    <w:p w14:paraId="33246D11" w14:textId="77777777" w:rsidR="00787535" w:rsidRPr="00076A0F" w:rsidRDefault="00787535" w:rsidP="00787535">
      <w:pPr>
        <w:pStyle w:val="Akapitzlist"/>
        <w:numPr>
          <w:ilvl w:val="0"/>
          <w:numId w:val="1"/>
        </w:numPr>
        <w:spacing w:line="240" w:lineRule="auto"/>
        <w:rPr>
          <w:szCs w:val="22"/>
        </w:rPr>
      </w:pPr>
      <w:r w:rsidRPr="00076A0F">
        <w:rPr>
          <w:szCs w:val="22"/>
        </w:rPr>
        <w:t xml:space="preserve">Układ zasilający panel LED ma zabezpieczać źródło światła przed przepięciami o napięciu co najmniej 10 </w:t>
      </w:r>
      <w:proofErr w:type="spellStart"/>
      <w:r w:rsidRPr="00076A0F">
        <w:rPr>
          <w:szCs w:val="22"/>
        </w:rPr>
        <w:t>kV</w:t>
      </w:r>
      <w:proofErr w:type="spellEnd"/>
      <w:r w:rsidRPr="00076A0F">
        <w:rPr>
          <w:szCs w:val="22"/>
        </w:rPr>
        <w:t>. Zasilacz mikroprocesorowy musi być wyposażony w zabezpieczenia: przeciążeniowe, przeciwzwarciowe, termiczne oraz nadnapięciowe.</w:t>
      </w:r>
    </w:p>
    <w:p w14:paraId="1778E0F9" w14:textId="77777777" w:rsidR="00787535" w:rsidRPr="00076A0F" w:rsidRDefault="00787535" w:rsidP="00787535">
      <w:pPr>
        <w:pStyle w:val="Akapitzlist"/>
        <w:numPr>
          <w:ilvl w:val="0"/>
          <w:numId w:val="1"/>
        </w:numPr>
        <w:spacing w:line="240" w:lineRule="auto"/>
        <w:rPr>
          <w:szCs w:val="22"/>
        </w:rPr>
      </w:pPr>
      <w:r w:rsidRPr="00076A0F">
        <w:rPr>
          <w:szCs w:val="22"/>
        </w:rPr>
        <w:t>Oprawa ma być wykonana z ciśnieniowego odlewu aluminium, malowana w dowolnym kolorze palety RAL, wg potrzeby zamawiającego. Układ optyczny (soczewkowy, odbłyśnikowy) powinien chroniony być kloszem szklanym w celu ochrony przed kurzem oraz uszkodzeniami mechanicznymi – współczynnik nie mniejszy niż IK 08. W przypadku opraw nietypowych (parkowe, ozdobne, specjalistyczne) dopuszczalne jest stosowanie zamiast kloszy szklanych innych materiałów chroniących układ optyczny.</w:t>
      </w:r>
    </w:p>
    <w:p w14:paraId="135B6D7D" w14:textId="77777777" w:rsidR="00787535" w:rsidRPr="00076A0F" w:rsidRDefault="00787535" w:rsidP="00787535">
      <w:pPr>
        <w:pStyle w:val="Akapitzlist"/>
        <w:numPr>
          <w:ilvl w:val="0"/>
          <w:numId w:val="1"/>
        </w:numPr>
        <w:spacing w:line="240" w:lineRule="auto"/>
        <w:rPr>
          <w:szCs w:val="22"/>
        </w:rPr>
      </w:pPr>
      <w:r w:rsidRPr="00076A0F">
        <w:rPr>
          <w:szCs w:val="22"/>
        </w:rPr>
        <w:t xml:space="preserve">Układ soczewkowy winien być wielosoczewkowy i powinien być wykonany z odpornego na warunki atmosferyczne materiału. </w:t>
      </w:r>
    </w:p>
    <w:p w14:paraId="35841902" w14:textId="77777777" w:rsidR="00787535" w:rsidRPr="00076A0F" w:rsidRDefault="00787535" w:rsidP="00787535">
      <w:pPr>
        <w:pStyle w:val="Akapitzlist"/>
        <w:numPr>
          <w:ilvl w:val="0"/>
          <w:numId w:val="1"/>
        </w:numPr>
        <w:spacing w:line="240" w:lineRule="auto"/>
        <w:rPr>
          <w:szCs w:val="22"/>
        </w:rPr>
      </w:pPr>
      <w:r w:rsidRPr="00076A0F">
        <w:rPr>
          <w:szCs w:val="22"/>
        </w:rPr>
        <w:t xml:space="preserve">Obudowa oprawy ma być szczelnie zamknięta. Stopień szczelności oprawy nie może być mniejszy niż IP 65. </w:t>
      </w:r>
    </w:p>
    <w:p w14:paraId="27C03396" w14:textId="77777777" w:rsidR="00787535" w:rsidRPr="00076A0F" w:rsidRDefault="00787535" w:rsidP="00787535">
      <w:pPr>
        <w:pStyle w:val="Akapitzlist"/>
        <w:numPr>
          <w:ilvl w:val="0"/>
          <w:numId w:val="1"/>
        </w:numPr>
        <w:spacing w:line="240" w:lineRule="auto"/>
        <w:rPr>
          <w:szCs w:val="22"/>
        </w:rPr>
      </w:pPr>
      <w:r w:rsidRPr="00076A0F">
        <w:rPr>
          <w:szCs w:val="22"/>
        </w:rPr>
        <w:t>Oprawa powinna spełniać wymogi II klasy ochronności.</w:t>
      </w:r>
    </w:p>
    <w:p w14:paraId="1387D929" w14:textId="77777777" w:rsidR="00787535" w:rsidRPr="00076A0F" w:rsidRDefault="00787535" w:rsidP="00787535">
      <w:pPr>
        <w:pStyle w:val="Akapitzlist"/>
        <w:numPr>
          <w:ilvl w:val="0"/>
          <w:numId w:val="1"/>
        </w:numPr>
        <w:spacing w:line="240" w:lineRule="auto"/>
        <w:rPr>
          <w:szCs w:val="22"/>
        </w:rPr>
      </w:pPr>
      <w:r w:rsidRPr="00076A0F">
        <w:rPr>
          <w:szCs w:val="22"/>
        </w:rPr>
        <w:t>Oprawa musi posiadać system umożliwiający sprawne odprowadzenie ciepła.</w:t>
      </w:r>
    </w:p>
    <w:p w14:paraId="5DA2C14D" w14:textId="77777777" w:rsidR="00787535" w:rsidRPr="00076A0F" w:rsidRDefault="00787535" w:rsidP="00787535">
      <w:pPr>
        <w:pStyle w:val="Akapitzlist"/>
        <w:numPr>
          <w:ilvl w:val="0"/>
          <w:numId w:val="1"/>
        </w:numPr>
        <w:spacing w:line="240" w:lineRule="auto"/>
        <w:rPr>
          <w:szCs w:val="22"/>
        </w:rPr>
      </w:pPr>
      <w:r w:rsidRPr="00076A0F">
        <w:rPr>
          <w:szCs w:val="22"/>
        </w:rPr>
        <w:t>Zastosowana oprawa musi posiadać certyfikat bezpieczeństwa - Oznaczenie CE (</w:t>
      </w:r>
      <w:proofErr w:type="spellStart"/>
      <w:r w:rsidRPr="00076A0F">
        <w:rPr>
          <w:szCs w:val="22"/>
        </w:rPr>
        <w:t>Conformité</w:t>
      </w:r>
      <w:proofErr w:type="spellEnd"/>
      <w:r w:rsidRPr="00076A0F">
        <w:rPr>
          <w:szCs w:val="22"/>
        </w:rPr>
        <w:t xml:space="preserve"> </w:t>
      </w:r>
      <w:proofErr w:type="spellStart"/>
      <w:r w:rsidRPr="00076A0F">
        <w:rPr>
          <w:szCs w:val="22"/>
        </w:rPr>
        <w:t>Européenne</w:t>
      </w:r>
      <w:proofErr w:type="spellEnd"/>
      <w:r w:rsidRPr="00076A0F">
        <w:rPr>
          <w:szCs w:val="22"/>
        </w:rPr>
        <w:t xml:space="preserve">) potwierdzony deklaracją zgodności w języku polskim, wystawioną przez producenta na podstawie dołączonego certyfikatu ze stosownych badań wykonanych przez akredytowany ośrodek badawczy na terenie Unii Europejskiej. </w:t>
      </w:r>
      <w:r w:rsidRPr="00076A0F">
        <w:rPr>
          <w:szCs w:val="22"/>
        </w:rPr>
        <w:lastRenderedPageBreak/>
        <w:t>certyfikat ENEC i ENEC+ wydany przez laboratorium zlokalizowane na terenie UE oraz posiadać stosowne deklaracje. Wyżej wymienione certyfikaty musza obejmować zarówno oprawę jak i system sterowania.</w:t>
      </w:r>
    </w:p>
    <w:p w14:paraId="47DE84C8" w14:textId="77777777" w:rsidR="00787535" w:rsidRPr="00076A0F" w:rsidRDefault="00787535" w:rsidP="00787535">
      <w:pPr>
        <w:pStyle w:val="Akapitzlist"/>
        <w:numPr>
          <w:ilvl w:val="0"/>
          <w:numId w:val="1"/>
        </w:numPr>
        <w:spacing w:line="240" w:lineRule="auto"/>
        <w:rPr>
          <w:szCs w:val="22"/>
        </w:rPr>
      </w:pPr>
      <w:r w:rsidRPr="00076A0F">
        <w:rPr>
          <w:szCs w:val="22"/>
        </w:rPr>
        <w:t>Oprawa musi być wyposażona w uchwyt (wyposażenie oprawy lub dodatkowy element) umożliwiający jej płynną regulację w zakresie minimum 90 stopni, dostosowany zarówno do wysięgnika o średnicy max 60 mm jak i do bezpośredniego montażu na słupie. Trwałość diodowych źródeł światła powinna wynosić nie mniej niż 100.000 h.</w:t>
      </w:r>
    </w:p>
    <w:p w14:paraId="3E98D661" w14:textId="77777777" w:rsidR="00787535" w:rsidRPr="00076A0F" w:rsidRDefault="00787535" w:rsidP="00787535">
      <w:pPr>
        <w:pStyle w:val="Akapitzlist"/>
        <w:numPr>
          <w:ilvl w:val="0"/>
          <w:numId w:val="1"/>
        </w:numPr>
        <w:spacing w:line="240" w:lineRule="auto"/>
        <w:rPr>
          <w:szCs w:val="22"/>
        </w:rPr>
      </w:pPr>
      <w:r w:rsidRPr="00076A0F">
        <w:rPr>
          <w:szCs w:val="22"/>
        </w:rPr>
        <w:t xml:space="preserve">Konstrukcja oprawy powinna zapewniać łatwą wymianę modułów LED, oraz układów zasilających. </w:t>
      </w:r>
    </w:p>
    <w:p w14:paraId="08652C65" w14:textId="77777777" w:rsidR="00787535" w:rsidRPr="00076A0F" w:rsidRDefault="00787535" w:rsidP="00787535">
      <w:pPr>
        <w:pStyle w:val="Akapitzlist"/>
        <w:numPr>
          <w:ilvl w:val="0"/>
          <w:numId w:val="1"/>
        </w:numPr>
        <w:spacing w:line="240" w:lineRule="auto"/>
      </w:pPr>
      <w:r>
        <w:t>Zakres temperatury pracy: - 30º C do + 35</w:t>
      </w:r>
      <w:r w:rsidRPr="5E3DB95C">
        <w:rPr>
          <w:color w:val="FF0000"/>
        </w:rPr>
        <w:t xml:space="preserve"> </w:t>
      </w:r>
      <w:r>
        <w:t>C.</w:t>
      </w:r>
    </w:p>
    <w:p w14:paraId="2C64DA69" w14:textId="77777777" w:rsidR="00787535" w:rsidRPr="00076A0F" w:rsidRDefault="00787535" w:rsidP="00787535">
      <w:pPr>
        <w:pStyle w:val="Akapitzlist"/>
        <w:numPr>
          <w:ilvl w:val="0"/>
          <w:numId w:val="1"/>
        </w:numPr>
        <w:spacing w:line="240" w:lineRule="auto"/>
        <w:rPr>
          <w:szCs w:val="22"/>
        </w:rPr>
      </w:pPr>
      <w:r w:rsidRPr="00076A0F">
        <w:rPr>
          <w:szCs w:val="22"/>
        </w:rPr>
        <w:t xml:space="preserve">Układ optyczny oprawy musi spełniać wymagania normy PN-EN 6247:2010. Bezpieczeństwo fotobiologiczne lamp i systemów lampowych. </w:t>
      </w:r>
    </w:p>
    <w:p w14:paraId="341BBF11" w14:textId="77777777" w:rsidR="00787535" w:rsidRPr="00076A0F" w:rsidRDefault="00787535" w:rsidP="00787535">
      <w:pPr>
        <w:pStyle w:val="Akapitzlist"/>
        <w:numPr>
          <w:ilvl w:val="0"/>
          <w:numId w:val="1"/>
        </w:numPr>
        <w:spacing w:line="240" w:lineRule="auto"/>
        <w:rPr>
          <w:szCs w:val="22"/>
        </w:rPr>
      </w:pPr>
      <w:r w:rsidRPr="00076A0F">
        <w:rPr>
          <w:szCs w:val="22"/>
        </w:rPr>
        <w:t>Dodatkowo dopuszcza się oprawy LED w wykonaniu: optyka diod LED wykonana z modułów odbłyśników rastrowych. Charakterystyka układu optycznego dobierana poprzez obliczenia fotometryczne dla typu optyk: asymetryczny, drogowy w kilku opcjach dedykowanego rozsyłu.</w:t>
      </w:r>
    </w:p>
    <w:p w14:paraId="277DCF9C" w14:textId="77777777" w:rsidR="00787535" w:rsidRPr="00076A0F" w:rsidRDefault="00787535" w:rsidP="00787535">
      <w:pPr>
        <w:pStyle w:val="Akapitzlist"/>
        <w:numPr>
          <w:ilvl w:val="0"/>
          <w:numId w:val="1"/>
        </w:numPr>
        <w:spacing w:line="240" w:lineRule="auto"/>
        <w:rPr>
          <w:szCs w:val="22"/>
        </w:rPr>
      </w:pPr>
      <w:r w:rsidRPr="00076A0F">
        <w:rPr>
          <w:szCs w:val="22"/>
        </w:rPr>
        <w:t xml:space="preserve">Oprawy gotowe do współpracy z zewnętrznym systemem sterowania oświetleniem, wyposażony w zasilacz z interfejsem 1-10V lub Dali z gniazdem ZHAGA oraz posiadać certyfikat </w:t>
      </w:r>
      <w:proofErr w:type="spellStart"/>
      <w:r w:rsidRPr="00076A0F">
        <w:rPr>
          <w:szCs w:val="22"/>
        </w:rPr>
        <w:t>Zhaga</w:t>
      </w:r>
      <w:proofErr w:type="spellEnd"/>
      <w:r w:rsidRPr="00076A0F">
        <w:rPr>
          <w:szCs w:val="22"/>
        </w:rPr>
        <w:t xml:space="preserve"> D4i. Oprawa musi posiadać zaślepkę, która po demontażu umożliwi montaż odpowiednich sterowników.</w:t>
      </w:r>
    </w:p>
    <w:p w14:paraId="209264BF" w14:textId="77777777" w:rsidR="00787535" w:rsidRPr="00076A0F" w:rsidRDefault="00787535" w:rsidP="00787535">
      <w:pPr>
        <w:pStyle w:val="Akapitzlist"/>
        <w:numPr>
          <w:ilvl w:val="0"/>
          <w:numId w:val="1"/>
        </w:numPr>
        <w:spacing w:line="240" w:lineRule="auto"/>
        <w:rPr>
          <w:szCs w:val="22"/>
        </w:rPr>
      </w:pPr>
      <w:r w:rsidRPr="00076A0F">
        <w:rPr>
          <w:szCs w:val="22"/>
        </w:rPr>
        <w:t>Opcjonalnie oprawy mogą być wyposażone w tzw. „</w:t>
      </w:r>
      <w:proofErr w:type="spellStart"/>
      <w:r w:rsidRPr="00076A0F">
        <w:rPr>
          <w:szCs w:val="22"/>
        </w:rPr>
        <w:t>soft</w:t>
      </w:r>
      <w:proofErr w:type="spellEnd"/>
      <w:r w:rsidRPr="00076A0F">
        <w:rPr>
          <w:szCs w:val="22"/>
        </w:rPr>
        <w:t xml:space="preserve"> start” (układ minimalizujący występowanie tzw. piku elektrycznego podczas rozruchu). </w:t>
      </w:r>
    </w:p>
    <w:p w14:paraId="2B2FBB65" w14:textId="77777777" w:rsidR="00787535" w:rsidRPr="00076A0F" w:rsidRDefault="00787535" w:rsidP="00787535">
      <w:pPr>
        <w:pStyle w:val="Akapitzlist"/>
        <w:numPr>
          <w:ilvl w:val="0"/>
          <w:numId w:val="1"/>
        </w:numPr>
        <w:spacing w:line="240" w:lineRule="auto"/>
        <w:rPr>
          <w:szCs w:val="22"/>
        </w:rPr>
      </w:pPr>
      <w:r w:rsidRPr="00076A0F">
        <w:rPr>
          <w:szCs w:val="22"/>
        </w:rPr>
        <w:t xml:space="preserve">W przypadku opraw montowanych na elewacjach lub w gęstej zabudowie układ optyczny powinien być wyposażony w tzw. „non </w:t>
      </w:r>
      <w:proofErr w:type="spellStart"/>
      <w:r w:rsidRPr="00076A0F">
        <w:rPr>
          <w:szCs w:val="22"/>
        </w:rPr>
        <w:t>back</w:t>
      </w:r>
      <w:proofErr w:type="spellEnd"/>
      <w:r w:rsidRPr="00076A0F">
        <w:rPr>
          <w:szCs w:val="22"/>
        </w:rPr>
        <w:t xml:space="preserve"> </w:t>
      </w:r>
      <w:proofErr w:type="spellStart"/>
      <w:r w:rsidRPr="00076A0F">
        <w:rPr>
          <w:szCs w:val="22"/>
        </w:rPr>
        <w:t>light</w:t>
      </w:r>
      <w:proofErr w:type="spellEnd"/>
      <w:r w:rsidRPr="00076A0F">
        <w:rPr>
          <w:szCs w:val="22"/>
        </w:rPr>
        <w:t>” (ograniczenie świecenia w tylną przestrzeń).</w:t>
      </w:r>
    </w:p>
    <w:p w14:paraId="6134DA85" w14:textId="77777777" w:rsidR="00787535" w:rsidRPr="00076A0F" w:rsidRDefault="00787535" w:rsidP="00787535">
      <w:pPr>
        <w:pStyle w:val="Akapitzlist"/>
        <w:numPr>
          <w:ilvl w:val="0"/>
          <w:numId w:val="1"/>
        </w:numPr>
        <w:spacing w:line="240" w:lineRule="auto"/>
        <w:rPr>
          <w:szCs w:val="22"/>
        </w:rPr>
      </w:pPr>
      <w:r w:rsidRPr="00076A0F">
        <w:rPr>
          <w:szCs w:val="22"/>
        </w:rPr>
        <w:t>Oprawy LED nie mogą generować mocy biernej indukcyjnej i pojemnościowej poza dopuszczalnym poziomem (</w:t>
      </w:r>
      <w:r w:rsidRPr="00076A0F">
        <w:rPr>
          <w:rFonts w:hint="eastAsia"/>
          <w:szCs w:val="22"/>
        </w:rPr>
        <w:t>≤</w:t>
      </w:r>
      <w:r w:rsidRPr="00076A0F">
        <w:rPr>
          <w:szCs w:val="22"/>
        </w:rPr>
        <w:t xml:space="preserve"> 0,4 </w:t>
      </w:r>
      <w:proofErr w:type="spellStart"/>
      <w:r w:rsidRPr="00076A0F">
        <w:rPr>
          <w:szCs w:val="22"/>
        </w:rPr>
        <w:t>tg</w:t>
      </w:r>
      <w:proofErr w:type="spellEnd"/>
      <w:r w:rsidRPr="00076A0F">
        <w:rPr>
          <w:szCs w:val="22"/>
        </w:rPr>
        <w:t xml:space="preserve"> ᵠ).</w:t>
      </w:r>
    </w:p>
    <w:p w14:paraId="43B00F6F" w14:textId="77777777" w:rsidR="00787535" w:rsidRPr="00076A0F" w:rsidRDefault="00787535" w:rsidP="00787535">
      <w:pPr>
        <w:pStyle w:val="Akapitzlist"/>
        <w:numPr>
          <w:ilvl w:val="0"/>
          <w:numId w:val="1"/>
        </w:numPr>
        <w:spacing w:line="240" w:lineRule="auto"/>
        <w:rPr>
          <w:szCs w:val="22"/>
        </w:rPr>
      </w:pPr>
      <w:r w:rsidRPr="00076A0F">
        <w:rPr>
          <w:szCs w:val="22"/>
        </w:rPr>
        <w:t xml:space="preserve">Gwarancja na zastosowane oprawy powinna wynosić minimum 5 lat. </w:t>
      </w:r>
    </w:p>
    <w:p w14:paraId="31835593" w14:textId="77777777" w:rsidR="0000332D" w:rsidRDefault="0000332D"/>
    <w:sectPr w:rsidR="00003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05457"/>
    <w:multiLevelType w:val="hybridMultilevel"/>
    <w:tmpl w:val="B42689A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28962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35"/>
    <w:rsid w:val="0000332D"/>
    <w:rsid w:val="00577693"/>
    <w:rsid w:val="0078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AE37E"/>
  <w15:chartTrackingRefBased/>
  <w15:docId w15:val="{8907E2CB-FA30-4ED4-AB30-B4D354CB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qFormat/>
    <w:rsid w:val="00787535"/>
    <w:pPr>
      <w:spacing w:after="0" w:line="100" w:lineRule="atLeast"/>
      <w:ind w:left="709" w:firstLine="107"/>
      <w:jc w:val="both"/>
    </w:pPr>
    <w:rPr>
      <w:rFonts w:ascii="Arial" w:eastAsia="Times New Roman" w:hAnsi="Arial" w:cs="Times New Roman"/>
      <w:color w:val="00000A"/>
      <w:kern w:val="1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next w:val="Normalny"/>
    <w:qFormat/>
    <w:rsid w:val="00787535"/>
    <w:pPr>
      <w:widowControl w:val="0"/>
      <w:suppressAutoHyphens/>
      <w:autoSpaceDN w:val="0"/>
      <w:spacing w:after="0" w:line="360" w:lineRule="auto"/>
      <w:ind w:left="720"/>
      <w:jc w:val="both"/>
      <w:textAlignment w:val="baseline"/>
    </w:pPr>
    <w:rPr>
      <w:rFonts w:ascii="Arial" w:eastAsia="SimSun, 宋体" w:hAnsi="Arial" w:cs="Mangal"/>
      <w:color w:val="000000"/>
      <w:kern w:val="3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Koprowski</dc:creator>
  <cp:keywords/>
  <dc:description/>
  <cp:lastModifiedBy>Grzegorz Koprowski</cp:lastModifiedBy>
  <cp:revision>1</cp:revision>
  <dcterms:created xsi:type="dcterms:W3CDTF">2024-09-02T17:42:00Z</dcterms:created>
  <dcterms:modified xsi:type="dcterms:W3CDTF">2024-09-02T17:43:00Z</dcterms:modified>
</cp:coreProperties>
</file>