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1651D4A9"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CE5437">
        <w:rPr>
          <w:rFonts w:ascii="Arial" w:hAnsi="Arial" w:cs="Arial"/>
          <w:b/>
          <w:lang w:eastAsia="en-US"/>
        </w:rPr>
        <w:t>7</w:t>
      </w:r>
      <w:r w:rsidR="00A01560">
        <w:rPr>
          <w:rFonts w:ascii="Arial" w:hAnsi="Arial" w:cs="Arial"/>
          <w:b/>
          <w:lang w:eastAsia="en-US"/>
        </w:rPr>
        <w:t>.202</w:t>
      </w:r>
      <w:r w:rsidR="00AC6119">
        <w:rPr>
          <w:rFonts w:ascii="Arial" w:hAnsi="Arial" w:cs="Arial"/>
          <w:b/>
          <w:lang w:eastAsia="en-US"/>
        </w:rPr>
        <w:t>4</w:t>
      </w: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29D86B0C"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w:t>
      </w:r>
      <w:r w:rsidR="00051B62">
        <w:rPr>
          <w:rFonts w:ascii="Arial" w:hAnsi="Arial" w:cs="Arial"/>
        </w:rPr>
        <w:t>:</w:t>
      </w:r>
      <w:r>
        <w:rPr>
          <w:rFonts w:ascii="Arial" w:hAnsi="Arial" w:cs="Arial"/>
        </w:rPr>
        <w:t xml:space="preserve">                 20</w:t>
      </w:r>
      <w:r w:rsidR="005664FF">
        <w:rPr>
          <w:rFonts w:ascii="Arial" w:hAnsi="Arial" w:cs="Arial"/>
        </w:rPr>
        <w:t>2</w:t>
      </w:r>
      <w:r w:rsidR="00AC6119">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E9147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 xml:space="preserve">zadanie pn. </w:t>
      </w:r>
      <w:r w:rsidR="00351CED">
        <w:rPr>
          <w:rFonts w:ascii="Arial" w:hAnsi="Arial" w:cs="Arial"/>
        </w:rPr>
        <w:t>Budowa toru do jazdy rowerem „PUMPTRACK” w Trzebiechowie. Lokalizacja w obrębie działki ewid. nr 102/5, 102/3 w Trzebiechowie.</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3E500B78"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351CED">
        <w:rPr>
          <w:rFonts w:ascii="Arial" w:hAnsi="Arial" w:cs="Arial"/>
        </w:rPr>
        <w:t>budowa toru do jazdy rowerem „PUMPTRACK”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7777777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Pr>
          <w:rFonts w:ascii="Arial" w:hAnsi="Arial" w:cs="Arial"/>
          <w:bCs/>
        </w:rPr>
        <w:t>projektowej</w:t>
      </w:r>
      <w:r w:rsidRPr="004C7299">
        <w:rPr>
          <w:rFonts w:ascii="Arial" w:hAnsi="Arial" w:cs="Arial"/>
          <w:bCs/>
        </w:rPr>
        <w:t xml:space="preserve"> – </w:t>
      </w:r>
      <w:r>
        <w:rPr>
          <w:rFonts w:ascii="Arial" w:hAnsi="Arial" w:cs="Arial"/>
          <w:bCs/>
        </w:rPr>
        <w:t xml:space="preserve">dokumentacja do zgłoszenia robót budowlanych,  </w:t>
      </w:r>
    </w:p>
    <w:p w14:paraId="4D449763"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do kalkulacji kosztów</w:t>
      </w:r>
      <w:r>
        <w:rPr>
          <w:rFonts w:ascii="Arial" w:hAnsi="Arial" w:cs="Arial"/>
        </w:rPr>
        <w:t xml:space="preserve">, </w:t>
      </w:r>
    </w:p>
    <w:p w14:paraId="5B70955E"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szczegółowej specyfikacji technicznej dla robót drogowych,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BDDBD6B"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428B9091"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w:t>
      </w:r>
      <w:r w:rsidR="00AC6119">
        <w:rPr>
          <w:rFonts w:ascii="Arial" w:hAnsi="Arial" w:cs="Arial"/>
        </w:rPr>
        <w:t xml:space="preserve"> </w:t>
      </w:r>
      <w:r w:rsidR="00351CED">
        <w:rPr>
          <w:rFonts w:ascii="Arial" w:hAnsi="Arial" w:cs="Arial"/>
        </w:rPr>
        <w:t>budowie toru do jazdy rowerem „PUMPTRACK” w Trzebiechowie</w:t>
      </w:r>
      <w:r w:rsidR="00AC6119">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1D74D2ED"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w:t>
      </w:r>
      <w:r w:rsidR="00217EEA">
        <w:rPr>
          <w:rFonts w:ascii="Arial" w:hAnsi="Arial" w:cs="Arial"/>
        </w:rPr>
        <w:t xml:space="preserve">, </w:t>
      </w:r>
    </w:p>
    <w:p w14:paraId="4FC6420F" w14:textId="54225508" w:rsidR="00351CED" w:rsidRDefault="00351CED"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ewentualnych wznowień granic, </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składowiskowe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231ECC1"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CE5437">
        <w:rPr>
          <w:rFonts w:ascii="Arial" w:hAnsi="Arial" w:cs="Arial"/>
          <w:b/>
        </w:rPr>
        <w:t>5</w:t>
      </w:r>
      <w:r w:rsidR="00351CED">
        <w:rPr>
          <w:rFonts w:ascii="Arial" w:hAnsi="Arial" w:cs="Arial"/>
          <w:b/>
        </w:rPr>
        <w:t>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Default="009F6F84" w:rsidP="009F6F84">
      <w:pPr>
        <w:pStyle w:val="Tekstpodstawowy"/>
        <w:spacing w:after="0" w:line="240" w:lineRule="auto"/>
        <w:ind w:left="0" w:firstLine="0"/>
        <w:jc w:val="both"/>
        <w:rPr>
          <w:rFonts w:ascii="Arial" w:hAnsi="Arial" w:cs="Arial"/>
          <w:b/>
          <w:bCs/>
        </w:rPr>
      </w:pPr>
    </w:p>
    <w:p w14:paraId="6084F658" w14:textId="77777777" w:rsidR="00351CED" w:rsidRPr="00C46D12" w:rsidRDefault="00351CED"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258D3E49"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351CED">
        <w:rPr>
          <w:rFonts w:ascii="Arial" w:hAnsi="Arial" w:cs="Arial"/>
        </w:rPr>
        <w:t xml:space="preserve">budowa toru do jazdy rowerem Pumptrack w Trzebiechowie”,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12C821AC"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ustanowi kierownika budowy</w:t>
      </w:r>
      <w:r w:rsidR="003A2F2B">
        <w:rPr>
          <w:rFonts w:ascii="Arial" w:hAnsi="Arial" w:cs="Arial"/>
        </w:rPr>
        <w:t>;</w:t>
      </w:r>
      <w:r w:rsidR="00B603DD">
        <w:rPr>
          <w:rFonts w:ascii="Arial" w:hAnsi="Arial" w:cs="Arial"/>
        </w:rPr>
        <w:t xml:space="preserve"> </w:t>
      </w:r>
      <w:r w:rsidR="003A2F2B">
        <w:rPr>
          <w:rFonts w:ascii="Arial" w:hAnsi="Arial" w:cs="Arial"/>
        </w:rPr>
        <w:t>f</w:t>
      </w:r>
      <w:r>
        <w:rPr>
          <w:rFonts w:ascii="Arial" w:hAnsi="Arial" w:cs="Arial"/>
        </w:rPr>
        <w:t>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5570A161" w:rsidR="009F6F84" w:rsidRPr="00F7340F" w:rsidRDefault="009F6F84" w:rsidP="00C50085">
      <w:pPr>
        <w:spacing w:after="0"/>
        <w:jc w:val="both"/>
        <w:rPr>
          <w:rFonts w:ascii="Arial" w:hAnsi="Arial" w:cs="Arial"/>
        </w:rPr>
      </w:pPr>
      <w:r w:rsidRPr="00F7340F">
        <w:rPr>
          <w:rFonts w:ascii="Arial" w:hAnsi="Arial" w:cs="Arial"/>
        </w:rPr>
        <w:t xml:space="preserve">      - </w:t>
      </w:r>
      <w:r w:rsidR="00351CED">
        <w:rPr>
          <w:rFonts w:ascii="Arial" w:hAnsi="Arial" w:cs="Arial"/>
        </w:rPr>
        <w:t xml:space="preserve">budowa toru do jazdy rowerem Pumptrack w Trzebiechowie, </w:t>
      </w:r>
      <w:r w:rsidR="002B1B6F">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 xml:space="preserve">Na każde żądanie Zamawiającego Wykonawca obowiązany jest okazać, w stosunku do wskazanych urządzeń i materiałów, certyfikaty na znak bezpieczeństwa, deklaracje </w:t>
      </w:r>
      <w:r>
        <w:rPr>
          <w:rFonts w:ascii="Arial" w:hAnsi="Arial" w:cs="Arial"/>
        </w:rPr>
        <w:lastRenderedPageBreak/>
        <w:t>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w:t>
      </w:r>
      <w:r>
        <w:rPr>
          <w:rFonts w:ascii="Arial" w:hAnsi="Arial" w:cs="Arial"/>
        </w:rPr>
        <w:lastRenderedPageBreak/>
        <w:t>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roboty budowlane Wykonawcy,  jest przedstawienie przez Wykonawcę dowodów zapłaty </w:t>
      </w:r>
      <w:r>
        <w:rPr>
          <w:rFonts w:ascii="Arial" w:hAnsi="Arial" w:cs="Arial"/>
        </w:rPr>
        <w:lastRenderedPageBreak/>
        <w:t>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lastRenderedPageBreak/>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lastRenderedPageBreak/>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 sytuacji, gdy wskaźnik GUS w dowolnym miesiącu realizacji usługi zmieni się minimum o 10 % w stosunku do poprzedniego miesiąca, strony mogą złożyć wniosek </w:t>
      </w:r>
      <w:r w:rsidRPr="00F47344">
        <w:rPr>
          <w:rFonts w:ascii="Arial" w:hAnsi="Arial" w:cs="Arial"/>
          <w:sz w:val="22"/>
          <w:szCs w:val="22"/>
        </w:rPr>
        <w:lastRenderedPageBreak/>
        <w:t>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7475B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20"/>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9"/>
  </w:num>
  <w:num w:numId="21" w16cid:durableId="437914098">
    <w:abstractNumId w:val="26"/>
  </w:num>
  <w:num w:numId="22" w16cid:durableId="2122408796">
    <w:abstractNumId w:val="13"/>
  </w:num>
  <w:num w:numId="23" w16cid:durableId="1127510239">
    <w:abstractNumId w:val="3"/>
  </w:num>
  <w:num w:numId="24" w16cid:durableId="1217856380">
    <w:abstractNumId w:val="15"/>
  </w:num>
  <w:num w:numId="25" w16cid:durableId="741633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866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51B62"/>
    <w:rsid w:val="00071A17"/>
    <w:rsid w:val="00100223"/>
    <w:rsid w:val="001117CC"/>
    <w:rsid w:val="00131044"/>
    <w:rsid w:val="00217EEA"/>
    <w:rsid w:val="002B1B6F"/>
    <w:rsid w:val="00351CED"/>
    <w:rsid w:val="0037577B"/>
    <w:rsid w:val="003A2133"/>
    <w:rsid w:val="003A2F2B"/>
    <w:rsid w:val="003D62AA"/>
    <w:rsid w:val="003F7C1B"/>
    <w:rsid w:val="00411DA8"/>
    <w:rsid w:val="00412987"/>
    <w:rsid w:val="004913E3"/>
    <w:rsid w:val="004C7299"/>
    <w:rsid w:val="004D2CF9"/>
    <w:rsid w:val="004E179A"/>
    <w:rsid w:val="0050552A"/>
    <w:rsid w:val="00513837"/>
    <w:rsid w:val="005664FF"/>
    <w:rsid w:val="005D4375"/>
    <w:rsid w:val="00641E7F"/>
    <w:rsid w:val="00725073"/>
    <w:rsid w:val="0072590F"/>
    <w:rsid w:val="007475BE"/>
    <w:rsid w:val="00755D94"/>
    <w:rsid w:val="0078022A"/>
    <w:rsid w:val="00791B8A"/>
    <w:rsid w:val="00823726"/>
    <w:rsid w:val="00852EE3"/>
    <w:rsid w:val="0085479D"/>
    <w:rsid w:val="008611D0"/>
    <w:rsid w:val="00894821"/>
    <w:rsid w:val="008B5861"/>
    <w:rsid w:val="008E0AD7"/>
    <w:rsid w:val="00924231"/>
    <w:rsid w:val="009377EF"/>
    <w:rsid w:val="00952F69"/>
    <w:rsid w:val="009A59E6"/>
    <w:rsid w:val="009B159D"/>
    <w:rsid w:val="009D5A0D"/>
    <w:rsid w:val="009F6F84"/>
    <w:rsid w:val="00A01560"/>
    <w:rsid w:val="00A35513"/>
    <w:rsid w:val="00A37C92"/>
    <w:rsid w:val="00A424C1"/>
    <w:rsid w:val="00A54921"/>
    <w:rsid w:val="00A93FCE"/>
    <w:rsid w:val="00AC6119"/>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E5437"/>
    <w:rsid w:val="00CF7DF3"/>
    <w:rsid w:val="00DA75CD"/>
    <w:rsid w:val="00DB5D35"/>
    <w:rsid w:val="00E97CC9"/>
    <w:rsid w:val="00EB1C45"/>
    <w:rsid w:val="00EC2E9D"/>
    <w:rsid w:val="00F22486"/>
    <w:rsid w:val="00F478FA"/>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5205</Words>
  <Characters>31230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57</cp:revision>
  <dcterms:created xsi:type="dcterms:W3CDTF">2018-04-12T06:41:00Z</dcterms:created>
  <dcterms:modified xsi:type="dcterms:W3CDTF">2024-06-04T13:01:00Z</dcterms:modified>
</cp:coreProperties>
</file>