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BC75A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  <w:bookmarkStart w:id="0" w:name="bookmark1"/>
      <w:bookmarkStart w:id="1" w:name="_Toc392064655"/>
      <w:bookmarkStart w:id="2" w:name="_Toc392066894"/>
      <w:bookmarkStart w:id="3" w:name="_Toc392068079"/>
      <w:bookmarkStart w:id="4" w:name="_Toc392071331"/>
      <w:bookmarkStart w:id="5" w:name="_Toc392137467"/>
    </w:p>
    <w:p w14:paraId="08BAEB32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1DF4B86C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375857EA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2D840C08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1B8D63CE" w14:textId="77777777" w:rsidR="00236F62" w:rsidRDefault="00236F62" w:rsidP="00236F62">
      <w:pPr>
        <w:jc w:val="center"/>
        <w:rPr>
          <w:b/>
          <w:sz w:val="28"/>
        </w:rPr>
      </w:pPr>
      <w:bookmarkStart w:id="6" w:name="_Hlk195604053"/>
      <w:r w:rsidRPr="00774FF5">
        <w:rPr>
          <w:rFonts w:ascii="Arial" w:hAnsi="Arial" w:cs="Arial"/>
          <w:b/>
          <w:sz w:val="28"/>
          <w:szCs w:val="28"/>
        </w:rPr>
        <w:t>Remont drogi wojewódzkiej nr 724 na odcinku od km 16+469 w miejscowości Obory-Łyczyn do km 17+500 w miejscowości Słomczyn, gmina Konstancin Jeziorna, powiat piaseczyński, województwo mazowieckie</w:t>
      </w:r>
      <w:r>
        <w:rPr>
          <w:rFonts w:ascii="Arial" w:hAnsi="Arial" w:cs="Arial"/>
          <w:b/>
          <w:sz w:val="28"/>
          <w:szCs w:val="28"/>
        </w:rPr>
        <w:t>.</w:t>
      </w:r>
      <w:r w:rsidRPr="00774FF5">
        <w:rPr>
          <w:rFonts w:ascii="Arial" w:hAnsi="Arial" w:cs="Arial"/>
          <w:b/>
          <w:sz w:val="28"/>
          <w:szCs w:val="28"/>
        </w:rPr>
        <w:t xml:space="preserve">  </w:t>
      </w:r>
    </w:p>
    <w:bookmarkEnd w:id="6"/>
    <w:p w14:paraId="312269BE" w14:textId="77777777" w:rsidR="004F1A23" w:rsidRPr="00CC2684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  <w:rPr>
          <w:rFonts w:asciiTheme="minorHAnsi" w:hAnsiTheme="minorHAnsi"/>
          <w:sz w:val="20"/>
          <w:szCs w:val="20"/>
        </w:rPr>
      </w:pPr>
    </w:p>
    <w:p w14:paraId="6D03152C" w14:textId="77777777" w:rsidR="004F1A23" w:rsidRPr="00CC2684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  <w:rPr>
          <w:rFonts w:asciiTheme="minorHAnsi" w:hAnsiTheme="minorHAnsi"/>
          <w:sz w:val="20"/>
          <w:szCs w:val="20"/>
        </w:rPr>
      </w:pPr>
    </w:p>
    <w:p w14:paraId="7FE184B5" w14:textId="77777777" w:rsidR="004F1A23" w:rsidRPr="00CC2684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  <w:rPr>
          <w:rFonts w:asciiTheme="minorHAnsi" w:hAnsiTheme="minorHAnsi"/>
          <w:sz w:val="20"/>
          <w:szCs w:val="20"/>
        </w:rPr>
      </w:pPr>
    </w:p>
    <w:p w14:paraId="09AD001B" w14:textId="77777777" w:rsidR="004F1A23" w:rsidRPr="00CC2684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  <w:rPr>
          <w:rFonts w:asciiTheme="minorHAnsi" w:hAnsiTheme="minorHAnsi"/>
          <w:sz w:val="20"/>
          <w:szCs w:val="20"/>
        </w:rPr>
      </w:pPr>
      <w:bookmarkStart w:id="7" w:name="_Toc413743048"/>
      <w:bookmarkStart w:id="8" w:name="_Toc31621018"/>
      <w:bookmarkStart w:id="9" w:name="_Toc33615654"/>
      <w:bookmarkStart w:id="10" w:name="_Toc33615724"/>
      <w:bookmarkStart w:id="11" w:name="_Toc33616773"/>
      <w:bookmarkStart w:id="12" w:name="_Toc33617078"/>
      <w:bookmarkStart w:id="13" w:name="_Toc33617596"/>
      <w:bookmarkStart w:id="14" w:name="_Toc33618284"/>
      <w:bookmarkStart w:id="15" w:name="_Toc96068366"/>
      <w:r w:rsidRPr="00CC2684">
        <w:rPr>
          <w:rFonts w:asciiTheme="minorHAnsi" w:hAnsiTheme="minorHAnsi"/>
          <w:sz w:val="20"/>
          <w:szCs w:val="20"/>
        </w:rPr>
        <w:t>SZCZEGÓŁOWE SPECYFIKACJE TECHNICZNE</w:t>
      </w:r>
      <w:bookmarkEnd w:id="0"/>
      <w:bookmarkEnd w:id="1"/>
      <w:bookmarkEnd w:id="2"/>
      <w:bookmarkEnd w:id="3"/>
      <w:bookmarkEnd w:id="4"/>
      <w:bookmarkEnd w:id="5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4CE9B219" w14:textId="77777777" w:rsidR="004F1A23" w:rsidRPr="00CC2684" w:rsidRDefault="004F1A23" w:rsidP="004F1A23">
      <w:pPr>
        <w:pStyle w:val="Teksttreci30"/>
        <w:widowControl/>
        <w:shd w:val="clear" w:color="auto" w:fill="auto"/>
        <w:suppressAutoHyphens/>
        <w:spacing w:before="0"/>
        <w:ind w:right="5500" w:firstLine="0"/>
        <w:rPr>
          <w:rFonts w:asciiTheme="minorHAnsi" w:hAnsiTheme="minorHAnsi"/>
          <w:sz w:val="20"/>
          <w:szCs w:val="20"/>
        </w:rPr>
      </w:pPr>
    </w:p>
    <w:p w14:paraId="5321B76E" w14:textId="77777777" w:rsidR="00CD79FC" w:rsidRPr="00CC2684" w:rsidRDefault="00CD79FC">
      <w:pPr>
        <w:rPr>
          <w:sz w:val="20"/>
          <w:szCs w:val="20"/>
        </w:rPr>
      </w:pPr>
    </w:p>
    <w:p w14:paraId="14A1B28B" w14:textId="1A4B2CA8" w:rsidR="004F1A23" w:rsidRPr="00CC2684" w:rsidRDefault="004F1A23" w:rsidP="004F1A23">
      <w:pPr>
        <w:pStyle w:val="Nagwek1"/>
        <w:spacing w:before="0" w:line="360" w:lineRule="auto"/>
        <w:ind w:left="1020" w:hanging="340"/>
        <w:jc w:val="center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6" w:name="_Toc56420211"/>
      <w:bookmarkStart w:id="17" w:name="_Toc96068367"/>
      <w:r w:rsidRPr="00CC2684">
        <w:rPr>
          <w:rFonts w:asciiTheme="minorHAnsi" w:hAnsiTheme="minorHAnsi"/>
          <w:b/>
          <w:bCs/>
          <w:color w:val="auto"/>
          <w:sz w:val="20"/>
          <w:szCs w:val="20"/>
        </w:rPr>
        <w:t>D-01.02.04</w:t>
      </w:r>
    </w:p>
    <w:p w14:paraId="28864A03" w14:textId="1112ADC9" w:rsidR="004F1A23" w:rsidRPr="00CC2684" w:rsidRDefault="004F1A23" w:rsidP="004F1A23">
      <w:pPr>
        <w:pStyle w:val="Nagwek1"/>
        <w:spacing w:before="0" w:line="360" w:lineRule="auto"/>
        <w:ind w:left="1020" w:hanging="340"/>
        <w:jc w:val="center"/>
        <w:rPr>
          <w:rFonts w:asciiTheme="minorHAnsi" w:hAnsiTheme="minorHAnsi"/>
          <w:b/>
          <w:bCs/>
          <w:color w:val="auto"/>
          <w:sz w:val="20"/>
          <w:szCs w:val="20"/>
        </w:rPr>
      </w:pPr>
      <w:r w:rsidRPr="00CC2684">
        <w:rPr>
          <w:rFonts w:asciiTheme="minorHAnsi" w:hAnsiTheme="minorHAnsi"/>
          <w:b/>
          <w:bCs/>
          <w:color w:val="auto"/>
          <w:sz w:val="20"/>
          <w:szCs w:val="20"/>
        </w:rPr>
        <w:t>ROZBIÓRKA ELEMENTÓW DRÓG, OGRODZEŃ I PRZEPUSTÓW</w:t>
      </w:r>
      <w:bookmarkEnd w:id="16"/>
      <w:bookmarkEnd w:id="17"/>
    </w:p>
    <w:p w14:paraId="052170E1" w14:textId="77777777" w:rsidR="004F1A23" w:rsidRPr="00CC2684" w:rsidRDefault="004F1A23" w:rsidP="004F1A23">
      <w:pPr>
        <w:jc w:val="center"/>
        <w:rPr>
          <w:sz w:val="20"/>
          <w:szCs w:val="20"/>
        </w:rPr>
      </w:pPr>
    </w:p>
    <w:p w14:paraId="24468FDB" w14:textId="77777777" w:rsidR="004F1A23" w:rsidRPr="00CC2684" w:rsidRDefault="004F1A23" w:rsidP="004F1A23">
      <w:pPr>
        <w:rPr>
          <w:sz w:val="20"/>
          <w:szCs w:val="20"/>
        </w:rPr>
      </w:pPr>
    </w:p>
    <w:p w14:paraId="01E6F095" w14:textId="77777777" w:rsidR="004F1A23" w:rsidRPr="00CC2684" w:rsidRDefault="004F1A23" w:rsidP="004F1A23">
      <w:pPr>
        <w:rPr>
          <w:sz w:val="20"/>
          <w:szCs w:val="20"/>
        </w:rPr>
      </w:pPr>
    </w:p>
    <w:p w14:paraId="35E31892" w14:textId="77777777" w:rsidR="004F1A23" w:rsidRPr="00CC2684" w:rsidRDefault="004F1A23" w:rsidP="004F1A23">
      <w:pPr>
        <w:rPr>
          <w:sz w:val="20"/>
          <w:szCs w:val="20"/>
        </w:rPr>
      </w:pPr>
    </w:p>
    <w:p w14:paraId="7F904658" w14:textId="77777777" w:rsidR="004F1A23" w:rsidRPr="00CC2684" w:rsidRDefault="004F1A23" w:rsidP="004F1A23">
      <w:pPr>
        <w:rPr>
          <w:sz w:val="20"/>
          <w:szCs w:val="20"/>
        </w:rPr>
      </w:pPr>
    </w:p>
    <w:p w14:paraId="3D77E6A0" w14:textId="77777777" w:rsidR="004F1A23" w:rsidRPr="00CC2684" w:rsidRDefault="004F1A23" w:rsidP="004F1A23">
      <w:pPr>
        <w:rPr>
          <w:sz w:val="20"/>
          <w:szCs w:val="20"/>
        </w:rPr>
      </w:pPr>
    </w:p>
    <w:p w14:paraId="4F40C4A3" w14:textId="77777777" w:rsidR="004F1A23" w:rsidRPr="00CC2684" w:rsidRDefault="004F1A23" w:rsidP="004F1A23">
      <w:pPr>
        <w:rPr>
          <w:sz w:val="20"/>
          <w:szCs w:val="20"/>
        </w:rPr>
      </w:pPr>
    </w:p>
    <w:p w14:paraId="2B252DF2" w14:textId="2D86F857" w:rsidR="004F1A23" w:rsidRPr="00CC2684" w:rsidRDefault="004F1A23" w:rsidP="004F1A23">
      <w:pPr>
        <w:rPr>
          <w:b/>
          <w:bCs/>
          <w:sz w:val="20"/>
          <w:szCs w:val="20"/>
        </w:rPr>
      </w:pPr>
      <w:r w:rsidRPr="00CC2684">
        <w:rPr>
          <w:b/>
          <w:bCs/>
          <w:sz w:val="20"/>
          <w:szCs w:val="20"/>
        </w:rPr>
        <w:t xml:space="preserve">SPORZĄDZIŁ: Robert Śniczewski                             </w:t>
      </w:r>
    </w:p>
    <w:p w14:paraId="5044A1E6" w14:textId="77777777" w:rsidR="004F1A23" w:rsidRPr="00CC2684" w:rsidRDefault="004F1A23" w:rsidP="004F1A23">
      <w:pPr>
        <w:rPr>
          <w:sz w:val="20"/>
          <w:szCs w:val="20"/>
        </w:rPr>
      </w:pPr>
    </w:p>
    <w:p w14:paraId="1A4D3660" w14:textId="1F2BD3D3" w:rsidR="004F1A23" w:rsidRPr="00CC2684" w:rsidRDefault="004F1A23" w:rsidP="004F1A23">
      <w:pPr>
        <w:rPr>
          <w:b/>
          <w:bCs/>
          <w:sz w:val="20"/>
          <w:szCs w:val="20"/>
        </w:rPr>
      </w:pPr>
      <w:r w:rsidRPr="00CC2684">
        <w:rPr>
          <w:b/>
          <w:bCs/>
          <w:sz w:val="20"/>
          <w:szCs w:val="20"/>
        </w:rPr>
        <w:t>Marzec 2025</w:t>
      </w:r>
    </w:p>
    <w:p w14:paraId="250B9BBB" w14:textId="77777777" w:rsidR="004F1A23" w:rsidRPr="00CC2684" w:rsidRDefault="004F1A23" w:rsidP="004F1A23">
      <w:pPr>
        <w:rPr>
          <w:b/>
          <w:bCs/>
          <w:sz w:val="20"/>
          <w:szCs w:val="20"/>
        </w:rPr>
      </w:pPr>
    </w:p>
    <w:p w14:paraId="22A20D69" w14:textId="77777777" w:rsidR="004F1A23" w:rsidRPr="00CC2684" w:rsidRDefault="004F1A23" w:rsidP="004F1A23">
      <w:pPr>
        <w:rPr>
          <w:b/>
          <w:bCs/>
          <w:sz w:val="20"/>
          <w:szCs w:val="20"/>
        </w:rPr>
      </w:pPr>
    </w:p>
    <w:p w14:paraId="3303CD3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9B6374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5BDF25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1B29105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3C5E9A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A6A500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F7D7688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A30E48C" w14:textId="5FC83262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Spis treści:</w:t>
      </w:r>
    </w:p>
    <w:p w14:paraId="5AA1BB4E" w14:textId="5160CEF5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Wstęp                                              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="00014679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>str. 3</w:t>
      </w:r>
    </w:p>
    <w:p w14:paraId="38A78A6A" w14:textId="09F07DD9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Materiały                                         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="00014679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>str. 3</w:t>
      </w:r>
    </w:p>
    <w:p w14:paraId="60A00DA2" w14:textId="5BB1545B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Sprzęt                                             </w:t>
      </w:r>
      <w:r w:rsidRPr="00CC2684">
        <w:rPr>
          <w:rFonts w:eastAsia="Times New Roman"/>
          <w:b/>
          <w:sz w:val="20"/>
          <w:szCs w:val="20"/>
          <w:lang w:eastAsia="pl-PL"/>
        </w:rPr>
        <w:tab/>
        <w:t xml:space="preserve">  </w:t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4</w:t>
      </w:r>
    </w:p>
    <w:p w14:paraId="27376045" w14:textId="77777777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Transport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4</w:t>
      </w:r>
    </w:p>
    <w:p w14:paraId="1BC84360" w14:textId="77777777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Wykonanie robót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 xml:space="preserve">str. 4   </w:t>
      </w:r>
    </w:p>
    <w:p w14:paraId="3EA77344" w14:textId="77777777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Kontrola jakości robót 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5</w:t>
      </w:r>
    </w:p>
    <w:p w14:paraId="5FEA480F" w14:textId="5D1DBB49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Obmiar robót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 xml:space="preserve">str. </w:t>
      </w:r>
      <w:r w:rsidR="004F3802" w:rsidRPr="00CC2684">
        <w:rPr>
          <w:rFonts w:eastAsia="Times New Roman"/>
          <w:b/>
          <w:sz w:val="20"/>
          <w:szCs w:val="20"/>
          <w:lang w:eastAsia="pl-PL"/>
        </w:rPr>
        <w:t>5</w:t>
      </w:r>
    </w:p>
    <w:p w14:paraId="653E1FCF" w14:textId="14D856B9" w:rsidR="004F3802" w:rsidRPr="00CC2684" w:rsidRDefault="004F3802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Odbiór robót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6</w:t>
      </w:r>
    </w:p>
    <w:p w14:paraId="045CF1F4" w14:textId="77777777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Podstawa płatności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6</w:t>
      </w:r>
    </w:p>
    <w:p w14:paraId="75E410E1" w14:textId="126C3ACB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4F3802" w:rsidRPr="00CC2684">
        <w:rPr>
          <w:rFonts w:eastAsia="Times New Roman"/>
          <w:b/>
          <w:sz w:val="20"/>
          <w:szCs w:val="20"/>
          <w:lang w:eastAsia="pl-PL"/>
        </w:rPr>
        <w:t xml:space="preserve">Przypisy związane </w:t>
      </w:r>
      <w:r w:rsidR="004F3802" w:rsidRPr="00CC2684">
        <w:rPr>
          <w:rFonts w:eastAsia="Times New Roman"/>
          <w:b/>
          <w:sz w:val="20"/>
          <w:szCs w:val="20"/>
          <w:lang w:eastAsia="pl-PL"/>
        </w:rPr>
        <w:tab/>
      </w:r>
      <w:r w:rsidR="004F3802" w:rsidRPr="00CC2684">
        <w:rPr>
          <w:rFonts w:eastAsia="Times New Roman"/>
          <w:b/>
          <w:sz w:val="20"/>
          <w:szCs w:val="20"/>
          <w:lang w:eastAsia="pl-PL"/>
        </w:rPr>
        <w:tab/>
      </w:r>
      <w:r w:rsidR="004F3802" w:rsidRPr="00CC2684">
        <w:rPr>
          <w:rFonts w:eastAsia="Times New Roman"/>
          <w:b/>
          <w:sz w:val="20"/>
          <w:szCs w:val="20"/>
          <w:lang w:eastAsia="pl-PL"/>
        </w:rPr>
        <w:tab/>
        <w:t>str. 8</w:t>
      </w:r>
      <w:r w:rsidRPr="00CC2684">
        <w:rPr>
          <w:rFonts w:eastAsia="Times New Roman"/>
          <w:b/>
          <w:sz w:val="20"/>
          <w:szCs w:val="20"/>
          <w:lang w:eastAsia="pl-PL"/>
        </w:rPr>
        <w:t xml:space="preserve">                                     </w:t>
      </w:r>
    </w:p>
    <w:p w14:paraId="11C2FFA4" w14:textId="77777777" w:rsidR="004F1A23" w:rsidRPr="00CC2684" w:rsidRDefault="004F1A23" w:rsidP="0001467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A4FE373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83657F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5AC5CBA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47723D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1C78149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FD2743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7B72FB3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6BB1AF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6EFF63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B25A9E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2C4165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439C501D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BECFEE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7DD7002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E1F879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41BFAF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B7D6312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AA73AC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610E12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25BCA5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6562959" w14:textId="77777777" w:rsidR="00CC2684" w:rsidRDefault="00CC2684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040D196" w14:textId="77777777" w:rsidR="00CC2684" w:rsidRDefault="00CC2684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DB2B86E" w14:textId="77777777" w:rsidR="00CC2684" w:rsidRDefault="00CC2684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8881B11" w14:textId="77777777" w:rsidR="00CC2684" w:rsidRDefault="00CC2684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2E15778" w14:textId="77777777" w:rsidR="007E0D3E" w:rsidRDefault="007E0D3E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464697D" w14:textId="77777777" w:rsidR="007E0D3E" w:rsidRDefault="007E0D3E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B185F57" w14:textId="77777777" w:rsidR="007E0D3E" w:rsidRDefault="007E0D3E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59AC2396" w14:textId="77777777" w:rsidR="007E0D3E" w:rsidRDefault="007E0D3E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1BB2157" w14:textId="410E38F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 WSTĘP</w:t>
      </w:r>
    </w:p>
    <w:p w14:paraId="72FAE17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1.1.Przedmiot ST</w:t>
      </w:r>
    </w:p>
    <w:p w14:paraId="70E4CF08" w14:textId="3544C8BD" w:rsidR="003B5655" w:rsidRPr="003B5655" w:rsidRDefault="004F1A23" w:rsidP="003B5655">
      <w:pPr>
        <w:spacing w:line="360" w:lineRule="auto"/>
        <w:jc w:val="both"/>
        <w:rPr>
          <w:b/>
          <w:bCs/>
          <w:sz w:val="20"/>
          <w:szCs w:val="20"/>
        </w:rPr>
      </w:pPr>
      <w:r w:rsidRPr="00CC2684">
        <w:rPr>
          <w:b/>
          <w:bCs/>
          <w:sz w:val="20"/>
          <w:szCs w:val="20"/>
        </w:rPr>
        <w:tab/>
      </w:r>
      <w:r w:rsidRPr="003B5655">
        <w:rPr>
          <w:sz w:val="20"/>
          <w:szCs w:val="20"/>
        </w:rPr>
        <w:t>Przedmiotem niniejszej ogólnej specyfikacji technicznej (ST) są wymagania dotyczące wykonania i odbioru robót związanych z rozbiórką elementów dróg, ogrodzeń i przepustów dla zadania</w:t>
      </w:r>
      <w:bookmarkStart w:id="18" w:name="_Hlk191041760"/>
      <w:r w:rsidR="003B5655" w:rsidRPr="003B5655">
        <w:rPr>
          <w:sz w:val="20"/>
          <w:szCs w:val="20"/>
        </w:rPr>
        <w:t>:</w:t>
      </w:r>
      <w:r w:rsidR="003B5655" w:rsidRPr="003B5655">
        <w:rPr>
          <w:rFonts w:ascii="Arial" w:eastAsia="Times New Roman" w:hAnsi="Arial" w:cs="Arial"/>
          <w:b/>
          <w:kern w:val="0"/>
          <w:sz w:val="28"/>
          <w:szCs w:val="28"/>
          <w:lang w:eastAsia="pl-PL"/>
          <w14:ligatures w14:val="none"/>
        </w:rPr>
        <w:t xml:space="preserve"> </w:t>
      </w:r>
      <w:r w:rsidR="003B5655" w:rsidRPr="003B5655">
        <w:rPr>
          <w:b/>
          <w:bCs/>
          <w:sz w:val="20"/>
          <w:szCs w:val="20"/>
        </w:rPr>
        <w:t xml:space="preserve">Remont drogi wojewódzkiej nr 724 na odcinku od km 16+469 w miejscowości Obory-Łyczyn do km 17+500 w miejscowości Słomczyn, gmina Konstancin Jeziorna, powiat piaseczyński, województwo mazowieckie.  </w:t>
      </w:r>
    </w:p>
    <w:p w14:paraId="188F10AB" w14:textId="14E76117" w:rsidR="004F1A23" w:rsidRPr="00CC2684" w:rsidRDefault="004F1A23" w:rsidP="003B5655">
      <w:pPr>
        <w:spacing w:line="360" w:lineRule="auto"/>
        <w:jc w:val="both"/>
        <w:rPr>
          <w:sz w:val="20"/>
          <w:szCs w:val="20"/>
        </w:rPr>
      </w:pPr>
    </w:p>
    <w:p w14:paraId="437F30EF" w14:textId="77777777" w:rsidR="004F1A23" w:rsidRPr="00CC2684" w:rsidRDefault="004F1A23" w:rsidP="004F1A23">
      <w:pPr>
        <w:spacing w:after="0" w:line="360" w:lineRule="auto"/>
        <w:jc w:val="both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bookmarkEnd w:id="18"/>
    <w:p w14:paraId="01851F3D" w14:textId="77777777" w:rsidR="004F1A23" w:rsidRPr="00CC2684" w:rsidRDefault="004F1A23" w:rsidP="004F1A23">
      <w:pPr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B0C158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1.2. Zakres stosowania ST</w:t>
      </w:r>
    </w:p>
    <w:p w14:paraId="49A339AF" w14:textId="77777777" w:rsidR="004F1A23" w:rsidRPr="00CC2684" w:rsidRDefault="004F1A23" w:rsidP="004F1A23">
      <w:pPr>
        <w:ind w:firstLine="709"/>
        <w:rPr>
          <w:rFonts w:eastAsia="Aptos"/>
          <w:sz w:val="20"/>
          <w:szCs w:val="20"/>
          <w:lang w:eastAsia="pl-PL"/>
        </w:rPr>
      </w:pPr>
      <w:bookmarkStart w:id="19" w:name="_Hlk191034582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Aptos"/>
          <w:sz w:val="20"/>
          <w:szCs w:val="20"/>
          <w:lang w:eastAsia="pl-PL"/>
        </w:rPr>
        <w:t>Niniejsza specyfikacja techniczna (ST) stanowi dokument przetargowy i kontraktowy  przy realizacji i odbiorze robót drogowych realizowanych na zlecenie Mazowieckiego Zarządu Dróg Wojewódzkich w Warszawie na terenie Rejonu Drogowego Otwock – Piaseczno.</w:t>
      </w:r>
    </w:p>
    <w:bookmarkEnd w:id="19"/>
    <w:p w14:paraId="15E8B8D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1.3. Zakres robót objętych ST</w:t>
      </w:r>
    </w:p>
    <w:p w14:paraId="1C07771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Ustalenia zawarte w niniejszej specyfikacji dotyczą zasad prowadzenia robót związanych z rozbiórką:</w:t>
      </w:r>
    </w:p>
    <w:p w14:paraId="657020D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warstw nawierzchni,</w:t>
      </w:r>
    </w:p>
    <w:p w14:paraId="19A8CB7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krawężników, obrzeży i oporników,</w:t>
      </w:r>
    </w:p>
    <w:p w14:paraId="7B93967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ścieków,</w:t>
      </w:r>
    </w:p>
    <w:p w14:paraId="6800FA98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 chodników,</w:t>
      </w:r>
    </w:p>
    <w:p w14:paraId="089A9AA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ogrodzeń,</w:t>
      </w:r>
    </w:p>
    <w:p w14:paraId="2E2A93D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barier i poręczy,</w:t>
      </w:r>
    </w:p>
    <w:p w14:paraId="32765CE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znaków drogowych,</w:t>
      </w:r>
    </w:p>
    <w:p w14:paraId="01D79DF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przepustów: betonowych, żelbetowych, kamiennych, ceglanych itp.</w:t>
      </w:r>
    </w:p>
    <w:p w14:paraId="47D379C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1.4. Określenia podstawowe</w:t>
      </w:r>
    </w:p>
    <w:p w14:paraId="16F37C7F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Stosowane określenia podstawowe są zgodne z obowiązującymi, odpowiednimi polskimi normami oraz z definicjami podanymi w OST D-M-00.00.00 „Wymagania ogólne” pkt 1.4.</w:t>
      </w:r>
    </w:p>
    <w:p w14:paraId="15FBDD4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1.5. Ogólne wymagania dotyczące robót</w:t>
      </w:r>
    </w:p>
    <w:p w14:paraId="7A645E5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Ogólne wymagania dotyczące robót podano w OST D-M-00.00.00 „Wymagania ogólne” pkt 1.5.</w:t>
      </w:r>
    </w:p>
    <w:p w14:paraId="7783BA8B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2. MATERIAŁY</w:t>
      </w:r>
    </w:p>
    <w:p w14:paraId="1398546B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2.1. Ogólne wymagania dotyczące materiałów</w:t>
      </w:r>
    </w:p>
    <w:p w14:paraId="55EB525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Ogólne wymagania dotyczące materiałów, ich pozyskiwania i składowania, podano w OST D-M-00.00.00 „Wymagania ogólne” pkt 2.</w:t>
      </w:r>
    </w:p>
    <w:p w14:paraId="3FC248F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2.2. Rusztowania</w:t>
      </w:r>
    </w:p>
    <w:p w14:paraId="1B760D8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lastRenderedPageBreak/>
        <w:tab/>
        <w:t>Rusztowania robocze przestawne przy rozbiórce przepustów mogą być wykonane z drewna lub rur stalowych w postaci:</w:t>
      </w:r>
    </w:p>
    <w:p w14:paraId="1AF1360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rusztowań kozłowych, wysokości od 1,0 do 1,5 m, składających się z leżni z bali (np. 12,5 x 12,5 cm), nóg z krawędziaków (np. 7,6 x 7,6 cm), stężeń (np. 3,2 x 12,5 cm) i pomostu z desek,</w:t>
      </w:r>
    </w:p>
    <w:p w14:paraId="32B18EE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rusztowań drabinowych, składających się z drabin (np. długości 6 m, szerokości 52 cm), usztywnionych stężeniami z desek (np. 3,2 x 12,5 cm), na których szczeblach (np. 3,2 x 6,3 cm) układa się pomosty z desek,</w:t>
      </w:r>
    </w:p>
    <w:p w14:paraId="60C49CF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przestawnych klatek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rusztowaniowych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z rur stalowych średnicy od 38 do 63,5 mm, o wymiarach klatek około 1,2 x 1,5 m lub płaskich klatek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rusztowaniowych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(np. z rur stalowych średnicy 108 mm i kątowników 45 x 45 x 5 mm i 70 x 70 x 7 mm), o wymiarach klatek około 1,1 x 1,5 m,</w:t>
      </w:r>
    </w:p>
    <w:p w14:paraId="71C5C60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rusztowań z rur stalowych średnicy od 33,5 do 76,1 mm połączonych łącznikami w ramownice i kratownice.</w:t>
      </w:r>
    </w:p>
    <w:p w14:paraId="4B4A094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Rusztowanie należy wykonać z materiałów odpowiadających następującym normom:</w:t>
      </w:r>
    </w:p>
    <w:p w14:paraId="7251C3E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drewno i tarcica wg PN-D-95017 [1], PN-D-96000 [2], PN-D-96002 [3] lub innej zaakceptowanej przez </w:t>
      </w:r>
      <w:bookmarkStart w:id="20" w:name="_Hlk191023967"/>
      <w:r w:rsidRPr="00CC2684">
        <w:rPr>
          <w:rFonts w:eastAsia="Times New Roman"/>
          <w:sz w:val="20"/>
          <w:szCs w:val="20"/>
          <w:lang w:eastAsia="pl-PL"/>
        </w:rPr>
        <w:t>Inspektora Nadzoru</w:t>
      </w:r>
      <w:bookmarkEnd w:id="20"/>
      <w:r w:rsidRPr="00CC2684">
        <w:rPr>
          <w:rFonts w:eastAsia="Times New Roman"/>
          <w:sz w:val="20"/>
          <w:szCs w:val="20"/>
          <w:lang w:eastAsia="pl-PL"/>
        </w:rPr>
        <w:t>,</w:t>
      </w:r>
    </w:p>
    <w:p w14:paraId="45D44A3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gwoździe wg BN-87/5028-12 [8],</w:t>
      </w:r>
    </w:p>
    <w:p w14:paraId="7C309BF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rury stalowe wg PN-H-74219 [4], PN-H-74220 [5] lub innej zaakceptowanej przez Inspektora Nadzoru,</w:t>
      </w:r>
    </w:p>
    <w:p w14:paraId="6FDC2719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kątowniki wg PN-H-93401[6], PN-H-93402 [7] lub innej zaakceptowanej przez Inspektora Nadzoru.</w:t>
      </w:r>
    </w:p>
    <w:p w14:paraId="6BD4D84D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3. SPRZĘT</w:t>
      </w:r>
    </w:p>
    <w:p w14:paraId="5F7AE34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3.1. Ogólne wymagania dotyczące sprzętu</w:t>
      </w:r>
    </w:p>
    <w:p w14:paraId="086EFF6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Ogólne wymagania dotyczące sprzętu podano w OST D-M-00.00.00 „Wymagania ogólne” pkt 3.</w:t>
      </w:r>
    </w:p>
    <w:p w14:paraId="2547F02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3.2. Sprzęt do rozbiórki</w:t>
      </w:r>
    </w:p>
    <w:p w14:paraId="53D3C4D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Do wykonania robót związanych z rozbiórką elementów dróg, ogrodzeń i przepustów może być wykorzystany sprzęt podany poniżej, lub inny zaakceptowany przez Inspektora Nadzoru:</w:t>
      </w:r>
    </w:p>
    <w:p w14:paraId="7E32E49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spycharki,</w:t>
      </w:r>
    </w:p>
    <w:p w14:paraId="01792E9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ładowarki,</w:t>
      </w:r>
    </w:p>
    <w:p w14:paraId="20FCD1F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żurawie samochodowe,</w:t>
      </w:r>
    </w:p>
    <w:p w14:paraId="1E1091C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samochody ciężarowe,</w:t>
      </w:r>
    </w:p>
    <w:p w14:paraId="7CB6685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zrywarki,</w:t>
      </w:r>
    </w:p>
    <w:p w14:paraId="7CCD7AE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młoty pneumatyczne,</w:t>
      </w:r>
    </w:p>
    <w:p w14:paraId="71F1C9D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piły mechaniczne,</w:t>
      </w:r>
    </w:p>
    <w:p w14:paraId="63D9EF3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frezarki nawierzchni,</w:t>
      </w:r>
    </w:p>
    <w:p w14:paraId="3AB9DE6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koparki.</w:t>
      </w:r>
    </w:p>
    <w:p w14:paraId="0796DB3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4. TRANSPORT</w:t>
      </w:r>
    </w:p>
    <w:p w14:paraId="4164516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4.1. Ogólne wymagania dotyczące transportu</w:t>
      </w:r>
    </w:p>
    <w:p w14:paraId="4093AB6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Ogólne wymagania dotyczące transportu podano w OST D-M-00.00.00 „Wymagania ogólne” pkt 4.</w:t>
      </w:r>
    </w:p>
    <w:p w14:paraId="7C23066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4.2. Transport materiałów z rozbiórki</w:t>
      </w:r>
    </w:p>
    <w:p w14:paraId="66B9668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lastRenderedPageBreak/>
        <w:tab/>
        <w:t>Materiał z rozbiórki, nie nadający się do ponownego wbudowania, można przewozić dowolnym środkiem transportu.</w:t>
      </w:r>
    </w:p>
    <w:p w14:paraId="719FED7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5. WYKONANIE ROBÓT</w:t>
      </w:r>
    </w:p>
    <w:p w14:paraId="1F66AC1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5.1. Ogólne zasady wykonania robót</w:t>
      </w:r>
    </w:p>
    <w:p w14:paraId="40E442D3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Ogólne zasady wykonania robót podano w OST D-M-00.00.00 „Wymagania ogólne” pkt 5.</w:t>
      </w:r>
    </w:p>
    <w:p w14:paraId="0FE45E0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5.2. Wykonanie robót rozbiórkowych</w:t>
      </w:r>
    </w:p>
    <w:p w14:paraId="46F860C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Roboty rozbiórkowe elementów dróg, ogrodzeń i przepustów obejmują usunięcie z terenu budowy wszystkich elementów wymienionych w pkt 1.3, zgodnie z dokumentacją projektową, SST lub wskazanych przez Inspektora Nadzoru.</w:t>
      </w:r>
    </w:p>
    <w:p w14:paraId="41A48BA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Jeśli dokumentacja projektowa nie zawiera dokumentacji inwentaryzacyjnej lub/i rozbiórkowej, Inspektor Nadzoru może polecić Wykonawcy sporządzenie takiej dokumentacji, w której zostanie określony przewidziany odzysk materiałów.</w:t>
      </w:r>
    </w:p>
    <w:p w14:paraId="608E60B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Roboty rozbiórkowe można wykonywać mechanicznie lub ręcznie w sposób określony w SST lub przez Inspektora Nadzoru . Materiały z rozbiórki do ponownego wykorzystania należy oczyścić, ułożyć na paletach i zabezpieczyć przed uszkodzeniem.</w:t>
      </w:r>
    </w:p>
    <w:p w14:paraId="5120CDD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W przypadku usuwania warstw nawierzchni z zastosowaniem frezarek drogowych, należy spełnić warunki określone w OST D-05.03.11 „Recykling”.</w:t>
      </w:r>
    </w:p>
    <w:p w14:paraId="7285223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W przypadku robót rozbiórkowych przepustu należy dokonać:</w:t>
      </w:r>
    </w:p>
    <w:p w14:paraId="787DAC6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odkopania przepustu,</w:t>
      </w:r>
    </w:p>
    <w:p w14:paraId="084B0BB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ustawienia przenośnych rusztowań przy przepustach wyższych od około 2 m,</w:t>
      </w:r>
    </w:p>
    <w:p w14:paraId="420E06E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rozbicia elementów, których nie przewiduje się odzyskać, w sposób ręczny lub mechaniczny z ew. przecięciem prętów zbrojeniowych i ich odgięciem,</w:t>
      </w:r>
    </w:p>
    <w:p w14:paraId="2F2CDE49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14:paraId="675859BA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oczyszczenia rozebranych elementów, przewidzianych do powtórnego użycia (z zaprawy, kawałków betonu, izolacji itp.) i ich posortowania.</w:t>
      </w:r>
    </w:p>
    <w:p w14:paraId="4377322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Wszystkie elementy możliwe do powtórnego wykorzystania powinny być usuwane bez powodowania zbędnych uszkodzeń. O ile uzyskane elementy nie stają się własnością Wykonawcy, powinien on przewieźć je na miejsce określone w SST lub wskazane przez Inspektora Nadzoru .</w:t>
      </w:r>
    </w:p>
    <w:p w14:paraId="4ECBC62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Elementy i materiały, które zgodnie z SST stają się własnością Wykonawcy, powinny być usunięte z terenu budowy.</w:t>
      </w:r>
    </w:p>
    <w:p w14:paraId="7A7CB02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1C7EFC5F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Doły w miejscach, gdzie nie przewiduje się wykonania wykopów drogowych należy wypełnić, warstwami, odpowiednim gruntem do poziomu otaczającego terenu i zagęścić zgodnie z wymaganiami określonymi w OST D-02.00.00 „Roboty ziemne”.</w:t>
      </w:r>
    </w:p>
    <w:p w14:paraId="4EA49C8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lastRenderedPageBreak/>
        <w:t>6. KONTROLA JAKOŚCI ROBÓT</w:t>
      </w:r>
    </w:p>
    <w:p w14:paraId="1C14F27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6.1. Ogólne zasady kontroli jakości robót</w:t>
      </w:r>
    </w:p>
    <w:p w14:paraId="6AA6341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Ogólne zasady kontroli jakości robót podano w OST D-M-00.00.00 „Wymagania ogólne” pkt 6.</w:t>
      </w:r>
    </w:p>
    <w:p w14:paraId="0528478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6.2. Kontrola jakości robót rozbiórkowych</w:t>
      </w:r>
    </w:p>
    <w:p w14:paraId="754D716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Kontrola jakości robót polega na wizualnej ocenie kompletności wykonanych robót rozbiórkowych oraz sprawdzeniu stopnia uszkodzenia elementów przewidzianych do powtórnego wykorzystania.</w:t>
      </w:r>
    </w:p>
    <w:p w14:paraId="3703F7A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Zagęszczenie gruntu wypełniającego ewentualne doły po usuniętych elementach nawierzchni, ogrodzeń i przepustów powinno spełniać odpowiednie wymagania określone w OST D-02.00.00 „Roboty ziemne”.</w:t>
      </w:r>
    </w:p>
    <w:p w14:paraId="2E3F76FD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7. OBMIAR ROBÓT</w:t>
      </w:r>
    </w:p>
    <w:p w14:paraId="53C494C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7.1. Ogólne zasady obmiaru robót</w:t>
      </w:r>
    </w:p>
    <w:p w14:paraId="378CCAC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Ogólne zasady obmiaru robót podano w OST D-M-00.00.00 „Wymagania ogólne”     pkt 7.</w:t>
      </w:r>
    </w:p>
    <w:p w14:paraId="2F4CBD8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7.2. Jednostka obmiarowa</w:t>
      </w:r>
    </w:p>
    <w:p w14:paraId="2E10314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Jednostką obmiarową robót związanych z rozbiórką elementów dróg i ogrodzeń jest:</w:t>
      </w:r>
    </w:p>
    <w:p w14:paraId="3E3F119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dla nawierzchni i chodnika - m</w:t>
      </w:r>
      <w:r w:rsidRPr="00CC2684">
        <w:rPr>
          <w:rFonts w:eastAsia="Times New Roman"/>
          <w:sz w:val="20"/>
          <w:szCs w:val="20"/>
          <w:vertAlign w:val="superscript"/>
          <w:lang w:eastAsia="pl-PL"/>
        </w:rPr>
        <w:t>2</w:t>
      </w:r>
      <w:r w:rsidRPr="00CC2684">
        <w:rPr>
          <w:rFonts w:eastAsia="Times New Roman"/>
          <w:sz w:val="20"/>
          <w:szCs w:val="20"/>
          <w:lang w:eastAsia="pl-PL"/>
        </w:rPr>
        <w:t xml:space="preserve"> (metr kwadratowy),</w:t>
      </w:r>
    </w:p>
    <w:p w14:paraId="14937CF2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dla krawężnika, opornika, obrzeża, ścieków prefabrykowanych, ogrodzeń, barier i poręczy - m (metr),</w:t>
      </w:r>
    </w:p>
    <w:p w14:paraId="792CF94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dla znaków drogowych - szt. (sztuka),</w:t>
      </w:r>
    </w:p>
    <w:p w14:paraId="4D63D67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dla przepustów i ich elementów</w:t>
      </w:r>
    </w:p>
    <w:p w14:paraId="0A27333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a) betonowych, kamiennych, ceglanych - m</w:t>
      </w:r>
      <w:r w:rsidRPr="00CC2684">
        <w:rPr>
          <w:rFonts w:eastAsia="Times New Roman"/>
          <w:sz w:val="20"/>
          <w:szCs w:val="20"/>
          <w:vertAlign w:val="superscript"/>
          <w:lang w:eastAsia="pl-PL"/>
        </w:rPr>
        <w:t>3</w:t>
      </w:r>
      <w:r w:rsidRPr="00CC2684">
        <w:rPr>
          <w:rFonts w:eastAsia="Times New Roman"/>
          <w:sz w:val="20"/>
          <w:szCs w:val="20"/>
          <w:lang w:eastAsia="pl-PL"/>
        </w:rPr>
        <w:t xml:space="preserve"> (metr sześcienny),</w:t>
      </w:r>
    </w:p>
    <w:p w14:paraId="1CE5010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b) prefabrykowanych betonowych, żelbetowych - m (metr).</w:t>
      </w:r>
    </w:p>
    <w:p w14:paraId="1866266B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8. ODBIÓR ROBÓT</w:t>
      </w:r>
    </w:p>
    <w:p w14:paraId="21DC906B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Ogólne zasady odbioru robót podano w OST D-M-00.00.00 „Wymagania ogólne”            pkt 8.</w:t>
      </w:r>
    </w:p>
    <w:p w14:paraId="259D1F88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9. PODSTAWA PŁATNOŚCI</w:t>
      </w:r>
    </w:p>
    <w:p w14:paraId="17CF62E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9.1. Ogólne ustalenia dotyczące podstawy płatności</w:t>
      </w:r>
    </w:p>
    <w:p w14:paraId="0A11D7C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Ogólne ustalenia dotyczące podstawy płatności podano w OST D-M-00.00.00 „Wymagania ogólne” pkt 9.</w:t>
      </w:r>
    </w:p>
    <w:p w14:paraId="698F353F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9.2. Cena jednostki obmiarowej</w:t>
      </w:r>
    </w:p>
    <w:p w14:paraId="35FA90D2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Cena wykonania robót obejmuje:</w:t>
      </w:r>
    </w:p>
    <w:p w14:paraId="6892A772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a) dla rozbiórki warstw nawierzchni:</w:t>
      </w:r>
    </w:p>
    <w:p w14:paraId="5D2EB47A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wyznaczenie powierzchni przeznaczonej do rozbiórki,</w:t>
      </w:r>
    </w:p>
    <w:p w14:paraId="63CE940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rozkucie i zerwanie nawierzchni,</w:t>
      </w:r>
    </w:p>
    <w:p w14:paraId="07116CA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przesortowanie materiału uzyskanego z rozbiórki, w celu ponownego jej użycia, z ułożeniem na poboczu,</w:t>
      </w:r>
    </w:p>
    <w:p w14:paraId="4281ADD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wraz z jego utylizacją,</w:t>
      </w:r>
    </w:p>
    <w:p w14:paraId="03F6D7E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wyrównanie podłoża i uporządkowanie terenu rozbiórki;</w:t>
      </w:r>
    </w:p>
    <w:p w14:paraId="2FC5F87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b) dla rozbiórki krawężników, obrzeży i oporników:</w:t>
      </w:r>
    </w:p>
    <w:p w14:paraId="58D89EA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krawężników, obrzeży i oporników wraz z wyjęciem i oczyszczeniem,</w:t>
      </w:r>
    </w:p>
    <w:p w14:paraId="094B4ED4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zerwanie podsypki cementowo-piaskowej i ew. ław,</w:t>
      </w:r>
    </w:p>
    <w:p w14:paraId="291BCC8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lastRenderedPageBreak/>
        <w:t xml:space="preserve">załadunek i wywiezienie materiału z rozbiórki </w:t>
      </w:r>
      <w:bookmarkStart w:id="21" w:name="_Hlk191024617"/>
      <w:r w:rsidRPr="00CC2684">
        <w:rPr>
          <w:rFonts w:eastAsia="Times New Roman"/>
          <w:sz w:val="20"/>
          <w:szCs w:val="20"/>
          <w:lang w:eastAsia="pl-PL"/>
        </w:rPr>
        <w:t>nie nadającego się do ponownego wykorzystania wraz z jego utylizacją</w:t>
      </w:r>
      <w:bookmarkEnd w:id="21"/>
      <w:r w:rsidRPr="00CC2684">
        <w:rPr>
          <w:rFonts w:eastAsia="Times New Roman"/>
          <w:sz w:val="20"/>
          <w:szCs w:val="20"/>
          <w:lang w:eastAsia="pl-PL"/>
        </w:rPr>
        <w:t>,</w:t>
      </w:r>
    </w:p>
    <w:p w14:paraId="2A82CCC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wyrównanie podłoża i uporządkowanie terenu rozbiórki;</w:t>
      </w:r>
    </w:p>
    <w:p w14:paraId="76F7F2A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c) dla rozbiórki ścieku:</w:t>
      </w:r>
    </w:p>
    <w:p w14:paraId="21248EC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odsłonięcie ścieku,</w:t>
      </w:r>
    </w:p>
    <w:p w14:paraId="1286B62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ręczne wyjęcie elementów ściekowych wraz z oczyszczeniem,</w:t>
      </w:r>
    </w:p>
    <w:p w14:paraId="55059BD3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przesortowanie materiału uzyskanego z rozbiórki, w celu ponownego jego użycia, z ułożeniem na poboczu,</w:t>
      </w:r>
    </w:p>
    <w:p w14:paraId="5337E25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zerwanie podsypki cementowo-piaskowej,</w:t>
      </w:r>
    </w:p>
    <w:p w14:paraId="21F2102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uzupełnienie i wyrównanie podłoża,</w:t>
      </w:r>
    </w:p>
    <w:p w14:paraId="5E6249A9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wywóz materiałów z rozbiórki nie nadającego się do ponownego wykorzystania wraz z jego utylizacją ,</w:t>
      </w:r>
    </w:p>
    <w:p w14:paraId="7BB0B9A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rozbiórki;</w:t>
      </w:r>
    </w:p>
    <w:p w14:paraId="45CF0CA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d) dla rozbiórki chodników:</w:t>
      </w:r>
    </w:p>
    <w:p w14:paraId="3325BD3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ręczne wyjęcie płyt chodnikowych, lub rozkucie i zerwanie innych materiałów chodnikowych,</w:t>
      </w:r>
    </w:p>
    <w:p w14:paraId="49D97AB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przesortowanie materiału uzyskanego z rozbiórki w celu ponownego jego użycia, z ułożeniem na poboczu,</w:t>
      </w:r>
    </w:p>
    <w:p w14:paraId="3745A91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zerwanie podsypki cementowo-piaskowej,</w:t>
      </w:r>
    </w:p>
    <w:p w14:paraId="0675367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nie nadającego się do ponownego wykorzystania wraz z jego utylizacją,</w:t>
      </w:r>
    </w:p>
    <w:p w14:paraId="59B856C4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wyrównanie podłoża i uporządkowanie terenu rozbiórki;</w:t>
      </w:r>
    </w:p>
    <w:p w14:paraId="0FE572A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e) dla rozbiórki ogrodzeń:</w:t>
      </w:r>
    </w:p>
    <w:p w14:paraId="706B1A4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demontaż elementów ogrodzenia,</w:t>
      </w:r>
    </w:p>
    <w:p w14:paraId="57DCBBF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i wydobycie słupków wraz z fundamentem,</w:t>
      </w:r>
    </w:p>
    <w:p w14:paraId="4A23AB0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zasypanie dołów po słupkach z zagęszczeniem do uzyskania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Is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Times New Roman"/>
          <w:sz w:val="20"/>
          <w:szCs w:val="20"/>
          <w:lang w:eastAsia="pl-PL"/>
        </w:rPr>
        <w:sym w:font="Symbol" w:char="F0B3"/>
      </w:r>
      <w:r w:rsidRPr="00CC2684">
        <w:rPr>
          <w:rFonts w:eastAsia="Times New Roman"/>
          <w:sz w:val="20"/>
          <w:szCs w:val="20"/>
          <w:lang w:eastAsia="pl-PL"/>
        </w:rPr>
        <w:t xml:space="preserve"> 1,00 wg BN-77/8931-12 [9],</w:t>
      </w:r>
    </w:p>
    <w:p w14:paraId="556408A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przesortowanie materiału uzyskanego z rozbiórki, w celu ponownego jego użycia, z ułożeniem w stosy na poboczu,</w:t>
      </w:r>
    </w:p>
    <w:p w14:paraId="79ACA67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nie nadającego się do ponownego wykorzystania wraz z jego utylizacją ,</w:t>
      </w:r>
    </w:p>
    <w:p w14:paraId="6F7BEF9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rozbiórki;</w:t>
      </w:r>
    </w:p>
    <w:p w14:paraId="00A42A9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f) dla rozbiórki barier i poręczy:</w:t>
      </w:r>
    </w:p>
    <w:p w14:paraId="35027A29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demontaż elementów bariery lub poręczy,</w:t>
      </w:r>
    </w:p>
    <w:p w14:paraId="3B153D2E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i wydobycie słupków wraz z fundamentem,</w:t>
      </w:r>
    </w:p>
    <w:p w14:paraId="38D8DB3A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zasypanie dołów po słupkach wraz z zagęszczeniem do uzyskania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Is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Times New Roman"/>
          <w:sz w:val="20"/>
          <w:szCs w:val="20"/>
          <w:lang w:eastAsia="pl-PL"/>
        </w:rPr>
        <w:sym w:font="Symbol" w:char="F0B3"/>
      </w:r>
      <w:r w:rsidRPr="00CC2684">
        <w:rPr>
          <w:rFonts w:eastAsia="Times New Roman"/>
          <w:sz w:val="20"/>
          <w:szCs w:val="20"/>
          <w:lang w:eastAsia="pl-PL"/>
        </w:rPr>
        <w:t xml:space="preserve"> 1,00 wg BN-77/8931-12 [9],</w:t>
      </w:r>
    </w:p>
    <w:p w14:paraId="725F0334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w miejsce wskazane przez Inspektora Nadzoru na terenie bazy Rejonu Drogowego Otwock - Piaseczno,</w:t>
      </w:r>
    </w:p>
    <w:p w14:paraId="420AD88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rozbiórki;</w:t>
      </w:r>
    </w:p>
    <w:p w14:paraId="3520950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lastRenderedPageBreak/>
        <w:t>g) dla rozbiórki znaków drogowych:</w:t>
      </w:r>
    </w:p>
    <w:p w14:paraId="3E01B79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demontaż tablic znaków drogowych ze słupków,</w:t>
      </w:r>
    </w:p>
    <w:p w14:paraId="62ECB60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i wydobycie słupków,</w:t>
      </w:r>
    </w:p>
    <w:p w14:paraId="2E0F2D44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zasypanie dołów po słupkach wraz z zagęszczeniem do uzyskania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Is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Times New Roman"/>
          <w:sz w:val="20"/>
          <w:szCs w:val="20"/>
          <w:lang w:eastAsia="pl-PL"/>
        </w:rPr>
        <w:sym w:font="Symbol" w:char="F0B3"/>
      </w:r>
      <w:r w:rsidRPr="00CC2684">
        <w:rPr>
          <w:rFonts w:eastAsia="Times New Roman"/>
          <w:sz w:val="20"/>
          <w:szCs w:val="20"/>
          <w:lang w:eastAsia="pl-PL"/>
        </w:rPr>
        <w:t xml:space="preserve"> 1,00 wg BN-77/8931-12 [9],</w:t>
      </w:r>
    </w:p>
    <w:p w14:paraId="17484892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w miejsce wskazane przez Inspektora Nadzoru na terenie bazy Rejonu Drogowego Otwock - Piaseczno,</w:t>
      </w:r>
    </w:p>
    <w:p w14:paraId="4B14CBBA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rozbiórki;</w:t>
      </w:r>
    </w:p>
    <w:p w14:paraId="77D86B5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h) dla rozbiórki przepustu:</w:t>
      </w:r>
    </w:p>
    <w:p w14:paraId="449BFC52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przepustu, fundamentów, ław, umocnień itp.,</w:t>
      </w:r>
    </w:p>
    <w:p w14:paraId="2F2BA35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ustawienie rusztowań i ich późniejsze rozebranie,</w:t>
      </w:r>
    </w:p>
    <w:p w14:paraId="38261A5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rozebranie elementów przepustu,</w:t>
      </w:r>
    </w:p>
    <w:p w14:paraId="28CE7938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sortowanie i pryzmowanie odzyskanych materiałów,</w:t>
      </w:r>
    </w:p>
    <w:p w14:paraId="140D107E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wraz z jego utylizacją,</w:t>
      </w:r>
    </w:p>
    <w:p w14:paraId="543E7F9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zasypanie dołów (wykopów) gruntem z zagęszczeniem do uzyskania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Is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Times New Roman"/>
          <w:sz w:val="20"/>
          <w:szCs w:val="20"/>
          <w:lang w:eastAsia="pl-PL"/>
        </w:rPr>
        <w:sym w:font="Symbol" w:char="F0B3"/>
      </w:r>
      <w:r w:rsidRPr="00CC2684">
        <w:rPr>
          <w:rFonts w:eastAsia="Times New Roman"/>
          <w:sz w:val="20"/>
          <w:szCs w:val="20"/>
          <w:lang w:eastAsia="pl-PL"/>
        </w:rPr>
        <w:t xml:space="preserve"> 1,00 wg BN-77/8931-12 [9],</w:t>
      </w:r>
    </w:p>
    <w:p w14:paraId="7CB2EC6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rozbiórki.</w:t>
      </w:r>
    </w:p>
    <w:p w14:paraId="0BFF064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723E5A2" w14:textId="4DB0A036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10. PRZEPISY ZWIĄZANE</w:t>
      </w:r>
    </w:p>
    <w:p w14:paraId="372D7D4D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551"/>
        <w:gridCol w:w="4394"/>
      </w:tblGrid>
      <w:tr w:rsidR="004F1A23" w:rsidRPr="00CC2684" w14:paraId="23C82829" w14:textId="77777777" w:rsidTr="00474F9C">
        <w:tc>
          <w:tcPr>
            <w:tcW w:w="496" w:type="dxa"/>
            <w:hideMark/>
          </w:tcPr>
          <w:p w14:paraId="672CB9C7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51" w:type="dxa"/>
            <w:hideMark/>
          </w:tcPr>
          <w:p w14:paraId="39DFFA15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PN-D-95017</w:t>
            </w:r>
          </w:p>
        </w:tc>
        <w:tc>
          <w:tcPr>
            <w:tcW w:w="4394" w:type="dxa"/>
            <w:hideMark/>
          </w:tcPr>
          <w:p w14:paraId="6089DBF5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Surowiec drzewny. Drewno tartaczne iglaste.</w:t>
            </w:r>
          </w:p>
        </w:tc>
      </w:tr>
      <w:tr w:rsidR="004F1A23" w:rsidRPr="00CC2684" w14:paraId="62439813" w14:textId="77777777" w:rsidTr="00474F9C">
        <w:tc>
          <w:tcPr>
            <w:tcW w:w="496" w:type="dxa"/>
            <w:hideMark/>
          </w:tcPr>
          <w:p w14:paraId="50B984C9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51" w:type="dxa"/>
            <w:hideMark/>
          </w:tcPr>
          <w:p w14:paraId="7827EF54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PN-D-96000</w:t>
            </w:r>
          </w:p>
        </w:tc>
        <w:tc>
          <w:tcPr>
            <w:tcW w:w="4394" w:type="dxa"/>
            <w:hideMark/>
          </w:tcPr>
          <w:p w14:paraId="2F156154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Tarcica iglasta ogólnego przeznaczenia</w:t>
            </w:r>
          </w:p>
        </w:tc>
      </w:tr>
      <w:tr w:rsidR="004F1A23" w:rsidRPr="00CC2684" w14:paraId="1AC58633" w14:textId="77777777" w:rsidTr="00474F9C">
        <w:tc>
          <w:tcPr>
            <w:tcW w:w="496" w:type="dxa"/>
            <w:hideMark/>
          </w:tcPr>
          <w:p w14:paraId="562DF275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551" w:type="dxa"/>
            <w:hideMark/>
          </w:tcPr>
          <w:p w14:paraId="3BBB5F60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PN-D-96002</w:t>
            </w:r>
          </w:p>
        </w:tc>
        <w:tc>
          <w:tcPr>
            <w:tcW w:w="4394" w:type="dxa"/>
            <w:hideMark/>
          </w:tcPr>
          <w:p w14:paraId="1E46BCCB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Tarcica liściasta ogólnego przeznaczenia</w:t>
            </w:r>
          </w:p>
        </w:tc>
      </w:tr>
      <w:tr w:rsidR="004F1A23" w:rsidRPr="00CC2684" w14:paraId="1773A413" w14:textId="77777777" w:rsidTr="00474F9C">
        <w:tc>
          <w:tcPr>
            <w:tcW w:w="496" w:type="dxa"/>
            <w:hideMark/>
          </w:tcPr>
          <w:p w14:paraId="26BA0CD3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551" w:type="dxa"/>
            <w:hideMark/>
          </w:tcPr>
          <w:p w14:paraId="4A8ABA44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PN-H-74219</w:t>
            </w:r>
          </w:p>
        </w:tc>
        <w:tc>
          <w:tcPr>
            <w:tcW w:w="4394" w:type="dxa"/>
            <w:hideMark/>
          </w:tcPr>
          <w:p w14:paraId="4718A4B6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Rury stalowe bez szwu walcowane na gorąco ogólnego stosowania</w:t>
            </w:r>
          </w:p>
        </w:tc>
      </w:tr>
      <w:tr w:rsidR="004F1A23" w:rsidRPr="00CC2684" w14:paraId="471F727D" w14:textId="77777777" w:rsidTr="00474F9C">
        <w:tc>
          <w:tcPr>
            <w:tcW w:w="496" w:type="dxa"/>
            <w:hideMark/>
          </w:tcPr>
          <w:p w14:paraId="4A6A2B18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551" w:type="dxa"/>
            <w:hideMark/>
          </w:tcPr>
          <w:p w14:paraId="6604086A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PN-H-74220</w:t>
            </w:r>
          </w:p>
        </w:tc>
        <w:tc>
          <w:tcPr>
            <w:tcW w:w="4394" w:type="dxa"/>
            <w:hideMark/>
          </w:tcPr>
          <w:p w14:paraId="43C3BC66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Rury stalowe bez szwu ciągnione i walcowane na zimno ogólnego przeznaczenia</w:t>
            </w:r>
          </w:p>
        </w:tc>
      </w:tr>
      <w:tr w:rsidR="004F1A23" w:rsidRPr="00CC2684" w14:paraId="5BE45C5E" w14:textId="77777777" w:rsidTr="00474F9C">
        <w:tc>
          <w:tcPr>
            <w:tcW w:w="496" w:type="dxa"/>
            <w:hideMark/>
          </w:tcPr>
          <w:p w14:paraId="1C7812A8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551" w:type="dxa"/>
            <w:hideMark/>
          </w:tcPr>
          <w:p w14:paraId="45708A6D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PN-H-93401</w:t>
            </w:r>
          </w:p>
        </w:tc>
        <w:tc>
          <w:tcPr>
            <w:tcW w:w="4394" w:type="dxa"/>
            <w:hideMark/>
          </w:tcPr>
          <w:p w14:paraId="097B57CF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Stal walcowana. Kątowniki równoramienne</w:t>
            </w:r>
          </w:p>
        </w:tc>
      </w:tr>
      <w:tr w:rsidR="004F1A23" w:rsidRPr="00CC2684" w14:paraId="0868D0BE" w14:textId="77777777" w:rsidTr="00474F9C">
        <w:tc>
          <w:tcPr>
            <w:tcW w:w="496" w:type="dxa"/>
            <w:hideMark/>
          </w:tcPr>
          <w:p w14:paraId="62B85684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551" w:type="dxa"/>
            <w:hideMark/>
          </w:tcPr>
          <w:p w14:paraId="54DBF406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PN-H-93402</w:t>
            </w:r>
          </w:p>
        </w:tc>
        <w:tc>
          <w:tcPr>
            <w:tcW w:w="4394" w:type="dxa"/>
            <w:hideMark/>
          </w:tcPr>
          <w:p w14:paraId="152D5D81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Kątowniki nierównoramienne stalowe walcowane na gorąco</w:t>
            </w:r>
          </w:p>
        </w:tc>
      </w:tr>
      <w:tr w:rsidR="004F1A23" w:rsidRPr="00CC2684" w14:paraId="737A7CC5" w14:textId="77777777" w:rsidTr="00474F9C">
        <w:tc>
          <w:tcPr>
            <w:tcW w:w="496" w:type="dxa"/>
            <w:hideMark/>
          </w:tcPr>
          <w:p w14:paraId="381CC950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551" w:type="dxa"/>
            <w:hideMark/>
          </w:tcPr>
          <w:p w14:paraId="4363D60F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BN-87/5028-12</w:t>
            </w:r>
          </w:p>
        </w:tc>
        <w:tc>
          <w:tcPr>
            <w:tcW w:w="4394" w:type="dxa"/>
            <w:hideMark/>
          </w:tcPr>
          <w:p w14:paraId="6817C8AD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Gwoździe budowlane. Gwoździe z trzpieniem gładkim, okrągłym i kwadratowym</w:t>
            </w:r>
          </w:p>
        </w:tc>
      </w:tr>
      <w:tr w:rsidR="004F1A23" w:rsidRPr="00CC2684" w14:paraId="127C798A" w14:textId="77777777" w:rsidTr="00474F9C">
        <w:tc>
          <w:tcPr>
            <w:tcW w:w="496" w:type="dxa"/>
            <w:hideMark/>
          </w:tcPr>
          <w:p w14:paraId="3D118F4C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551" w:type="dxa"/>
            <w:hideMark/>
          </w:tcPr>
          <w:p w14:paraId="65B328A7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BN-77/8931-12</w:t>
            </w:r>
          </w:p>
        </w:tc>
        <w:tc>
          <w:tcPr>
            <w:tcW w:w="4394" w:type="dxa"/>
            <w:hideMark/>
          </w:tcPr>
          <w:p w14:paraId="252B8AE7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Oznaczenie wskaźnika zagęszczenia gruntu.</w:t>
            </w:r>
          </w:p>
        </w:tc>
      </w:tr>
    </w:tbl>
    <w:p w14:paraId="4C4F70C2" w14:textId="77777777" w:rsidR="004F1A23" w:rsidRPr="00CC2684" w:rsidRDefault="004F1A23" w:rsidP="004F1A23">
      <w:pPr>
        <w:spacing w:after="0" w:line="360" w:lineRule="auto"/>
        <w:rPr>
          <w:sz w:val="20"/>
          <w:szCs w:val="20"/>
          <w:lang w:eastAsia="pl-PL"/>
        </w:rPr>
      </w:pPr>
    </w:p>
    <w:p w14:paraId="1EA5A336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53731533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0101236B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23B863D7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73DAE9C6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39E41297" w14:textId="77777777" w:rsidR="004F1A23" w:rsidRPr="00CC2684" w:rsidRDefault="004F1A23" w:rsidP="004F1A23">
      <w:pPr>
        <w:rPr>
          <w:sz w:val="20"/>
          <w:szCs w:val="20"/>
        </w:rPr>
      </w:pPr>
    </w:p>
    <w:sectPr w:rsidR="004F1A23" w:rsidRPr="00CC26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513EF" w14:textId="77777777" w:rsidR="009D0C0D" w:rsidRDefault="009D0C0D" w:rsidP="004F1A23">
      <w:pPr>
        <w:spacing w:after="0" w:line="240" w:lineRule="auto"/>
      </w:pPr>
      <w:r>
        <w:separator/>
      </w:r>
    </w:p>
  </w:endnote>
  <w:endnote w:type="continuationSeparator" w:id="0">
    <w:p w14:paraId="7783C16C" w14:textId="77777777" w:rsidR="009D0C0D" w:rsidRDefault="009D0C0D" w:rsidP="004F1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652100895"/>
      <w:docPartObj>
        <w:docPartGallery w:val="Page Numbers (Bottom of Page)"/>
        <w:docPartUnique/>
      </w:docPartObj>
    </w:sdtPr>
    <w:sdtEndPr/>
    <w:sdtContent>
      <w:p w14:paraId="3A672AA3" w14:textId="1FA67122" w:rsidR="004F1A23" w:rsidRDefault="004F1A2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75EB385" w14:textId="77777777" w:rsidR="004F1A23" w:rsidRDefault="004F1A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D3335" w14:textId="77777777" w:rsidR="009D0C0D" w:rsidRDefault="009D0C0D" w:rsidP="004F1A23">
      <w:pPr>
        <w:spacing w:after="0" w:line="240" w:lineRule="auto"/>
      </w:pPr>
      <w:r>
        <w:separator/>
      </w:r>
    </w:p>
  </w:footnote>
  <w:footnote w:type="continuationSeparator" w:id="0">
    <w:p w14:paraId="71CE3455" w14:textId="77777777" w:rsidR="009D0C0D" w:rsidRDefault="009D0C0D" w:rsidP="004F1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77083" w14:textId="69834814" w:rsidR="004F1A23" w:rsidRDefault="004F1A23">
    <w:pPr>
      <w:pStyle w:val="Nagwek"/>
    </w:pPr>
    <w:r>
      <w:rPr>
        <w:noProof/>
      </w:rPr>
      <w:drawing>
        <wp:inline distT="0" distB="0" distL="0" distR="0" wp14:anchorId="66FAD09C" wp14:editId="6C710706">
          <wp:extent cx="1374775" cy="435610"/>
          <wp:effectExtent l="0" t="0" r="0" b="2540"/>
          <wp:docPr id="532365672" name="Obraz 1" descr="Obraz zawierający tekst, Czcionka, wizytów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365672" name="Obraz 1" descr="Obraz zawierający tekst, Czcionka, wizytów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7175C7B"/>
    <w:multiLevelType w:val="hybridMultilevel"/>
    <w:tmpl w:val="3FA06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51861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 w16cid:durableId="383648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23"/>
    <w:rsid w:val="00014679"/>
    <w:rsid w:val="00176C13"/>
    <w:rsid w:val="00236F62"/>
    <w:rsid w:val="003B5655"/>
    <w:rsid w:val="003D4430"/>
    <w:rsid w:val="004F1A23"/>
    <w:rsid w:val="004F3802"/>
    <w:rsid w:val="007E0D3E"/>
    <w:rsid w:val="009D0C0D"/>
    <w:rsid w:val="00BF2FAD"/>
    <w:rsid w:val="00C20310"/>
    <w:rsid w:val="00CC2684"/>
    <w:rsid w:val="00CD79FC"/>
    <w:rsid w:val="00CE7D02"/>
    <w:rsid w:val="00F7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26E76B"/>
  <w15:chartTrackingRefBased/>
  <w15:docId w15:val="{4ABCC1D6-D81E-4889-80A1-23168AB7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Title 1"/>
    <w:basedOn w:val="Normalny"/>
    <w:next w:val="Normalny"/>
    <w:link w:val="Nagwek1Znak"/>
    <w:qFormat/>
    <w:rsid w:val="004F1A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1A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1A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1A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A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1A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1A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1A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1A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4F1A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1A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1A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1A2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A2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1A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1A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1A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1A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1A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1A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1A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F1A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1A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F1A2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1A2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F1A2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1A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1A2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1A2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F1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A23"/>
  </w:style>
  <w:style w:type="paragraph" w:styleId="Stopka">
    <w:name w:val="footer"/>
    <w:basedOn w:val="Normalny"/>
    <w:link w:val="StopkaZnak"/>
    <w:uiPriority w:val="99"/>
    <w:unhideWhenUsed/>
    <w:rsid w:val="004F1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A23"/>
  </w:style>
  <w:style w:type="character" w:customStyle="1" w:styleId="Nagwek10">
    <w:name w:val="Nagłówek #1_"/>
    <w:link w:val="Nagwek11"/>
    <w:rsid w:val="004F1A23"/>
    <w:rPr>
      <w:rFonts w:ascii="Times New Roman" w:eastAsia="Times New Roman" w:hAnsi="Times New Roman"/>
      <w:b/>
      <w:bCs/>
      <w:sz w:val="35"/>
      <w:szCs w:val="3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F1A23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/>
      <w:b/>
      <w:bCs/>
      <w:sz w:val="35"/>
      <w:szCs w:val="35"/>
    </w:rPr>
  </w:style>
  <w:style w:type="character" w:customStyle="1" w:styleId="Teksttreci3">
    <w:name w:val="Tekst treści (3)_"/>
    <w:link w:val="Teksttreci30"/>
    <w:rsid w:val="004F1A23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F1A23"/>
    <w:pPr>
      <w:widowControl w:val="0"/>
      <w:shd w:val="clear" w:color="auto" w:fill="FFFFFF"/>
      <w:spacing w:before="6720" w:after="0" w:line="1104" w:lineRule="exact"/>
      <w:ind w:hanging="280"/>
    </w:pPr>
    <w:rPr>
      <w:rFonts w:ascii="Times New Roman" w:eastAsia="Times New Roman" w:hAnsi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1774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Robert Śniczewski</dc:creator>
  <cp:keywords/>
  <dc:description/>
  <cp:lastModifiedBy>MZDW Robert Śniczewski</cp:lastModifiedBy>
  <cp:revision>8</cp:revision>
  <cp:lastPrinted>2025-03-28T11:43:00Z</cp:lastPrinted>
  <dcterms:created xsi:type="dcterms:W3CDTF">2025-04-01T07:54:00Z</dcterms:created>
  <dcterms:modified xsi:type="dcterms:W3CDTF">2025-04-15T08:13:00Z</dcterms:modified>
</cp:coreProperties>
</file>