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34BD0" w14:textId="77777777" w:rsidR="00363999" w:rsidRPr="007C6717" w:rsidRDefault="00363999" w:rsidP="00363999">
      <w:pPr>
        <w:spacing w:before="80" w:after="0"/>
        <w:ind w:right="71"/>
        <w:jc w:val="center"/>
        <w:rPr>
          <w:rFonts w:eastAsia="Verdana" w:cs="Verdana"/>
        </w:rPr>
      </w:pPr>
      <w:bookmarkStart w:id="0" w:name="_Toc408390906"/>
      <w:r w:rsidRPr="007C6717">
        <w:rPr>
          <w:rFonts w:eastAsia="Verdana" w:cs="Verdana"/>
          <w:b/>
        </w:rPr>
        <w:t>GWARANCJA JAKOŚCI</w:t>
      </w:r>
    </w:p>
    <w:p w14:paraId="03D34BD2" w14:textId="37AAD768" w:rsidR="00855083" w:rsidRPr="007C6717" w:rsidRDefault="00855083" w:rsidP="00363999">
      <w:pPr>
        <w:spacing w:before="80" w:after="0"/>
        <w:ind w:left="222" w:right="282" w:hanging="10"/>
        <w:jc w:val="center"/>
        <w:rPr>
          <w:rFonts w:eastAsia="Verdana" w:cs="Verdana"/>
          <w:b/>
        </w:rPr>
      </w:pPr>
    </w:p>
    <w:p w14:paraId="03D34BEC" w14:textId="68B5B628" w:rsidR="00363999" w:rsidRPr="007C6717" w:rsidRDefault="00363999" w:rsidP="00701657">
      <w:pPr>
        <w:spacing w:before="80" w:after="0"/>
        <w:ind w:right="282"/>
        <w:jc w:val="both"/>
        <w:rPr>
          <w:rFonts w:eastAsia="Verdana" w:cs="Verdana"/>
        </w:rPr>
      </w:pPr>
      <w:r w:rsidRPr="007C6717">
        <w:rPr>
          <w:rFonts w:eastAsia="Verdana" w:cs="Verdana"/>
          <w:b/>
          <w:bCs/>
        </w:rPr>
        <w:t>Nazwa zadania:</w:t>
      </w:r>
      <w:r w:rsidR="00013066" w:rsidRPr="007C6717">
        <w:t xml:space="preserve"> </w:t>
      </w:r>
      <w:r w:rsidR="00701657" w:rsidRPr="007C6717">
        <w:t>„</w:t>
      </w:r>
      <w:bookmarkStart w:id="1" w:name="_Hlk188892180"/>
      <w:r w:rsidR="00701657" w:rsidRPr="007C6717">
        <w:t>Zaprojektowanie i budowa zadania inwestycyjnego pn. „Remont i budowa Centrum Kompetencji Mikroelektronika i Fotonika” w ramach Inwestycji A2.4.1 Inwestycje w rozbudowę potencjału badawczego Krajowego Planu Odbudowy i Zwiększania Odporności.</w:t>
      </w:r>
      <w:bookmarkEnd w:id="1"/>
      <w:r w:rsidR="00701657" w:rsidRPr="007C6717">
        <w:t xml:space="preserve">” </w:t>
      </w:r>
    </w:p>
    <w:p w14:paraId="63FFE4C3" w14:textId="77777777" w:rsidR="00701657" w:rsidRPr="007C6717" w:rsidRDefault="00701657" w:rsidP="00363999">
      <w:pPr>
        <w:spacing w:before="80" w:after="0"/>
        <w:ind w:left="-5" w:right="63" w:hanging="10"/>
        <w:jc w:val="both"/>
        <w:rPr>
          <w:rFonts w:eastAsia="Verdana" w:cs="Verdana"/>
        </w:rPr>
      </w:pPr>
    </w:p>
    <w:p w14:paraId="03D34BED" w14:textId="0B47FEA0" w:rsidR="00363999" w:rsidRPr="007C6717" w:rsidRDefault="00363999" w:rsidP="00363999">
      <w:pPr>
        <w:spacing w:before="80" w:after="0"/>
        <w:ind w:left="-5" w:right="63" w:hanging="10"/>
        <w:jc w:val="both"/>
        <w:rPr>
          <w:rFonts w:eastAsia="Verdana" w:cs="Verdana"/>
        </w:rPr>
      </w:pPr>
      <w:r w:rsidRPr="007C6717">
        <w:rPr>
          <w:rFonts w:eastAsia="Verdana" w:cs="Verdana"/>
          <w:b/>
          <w:bCs/>
        </w:rPr>
        <w:t>Kontrakt nr</w:t>
      </w:r>
      <w:r w:rsidRPr="007C6717">
        <w:rPr>
          <w:rFonts w:eastAsia="Verdana" w:cs="Verdana"/>
        </w:rPr>
        <w:t>: ………………………………</w:t>
      </w:r>
    </w:p>
    <w:p w14:paraId="03D34BEE" w14:textId="77777777" w:rsidR="00363999" w:rsidRPr="007C6717" w:rsidRDefault="00363999" w:rsidP="00363999">
      <w:pPr>
        <w:spacing w:before="80" w:after="0"/>
        <w:rPr>
          <w:rFonts w:eastAsia="Verdana" w:cs="Verdana"/>
        </w:rPr>
      </w:pPr>
    </w:p>
    <w:p w14:paraId="03D34BF0" w14:textId="77777777" w:rsidR="00363999" w:rsidRPr="007C6717" w:rsidRDefault="00363999" w:rsidP="00363999">
      <w:pPr>
        <w:spacing w:before="80" w:after="0"/>
        <w:ind w:left="-5" w:right="-2" w:hanging="10"/>
        <w:rPr>
          <w:rFonts w:eastAsia="Verdana" w:cs="Verdana"/>
        </w:rPr>
      </w:pPr>
      <w:r w:rsidRPr="007C6717">
        <w:rPr>
          <w:rFonts w:eastAsia="Verdana" w:cs="Verdana"/>
          <w:b/>
          <w:bCs/>
        </w:rPr>
        <w:t>GWARANTEM jest</w:t>
      </w:r>
      <w:r w:rsidRPr="007C6717">
        <w:rPr>
          <w:rFonts w:eastAsia="Verdana" w:cs="Verdana"/>
        </w:rPr>
        <w:t>:</w:t>
      </w:r>
    </w:p>
    <w:p w14:paraId="03D34BF1" w14:textId="77777777" w:rsidR="00363999" w:rsidRPr="007C6717" w:rsidRDefault="00363999" w:rsidP="00363999">
      <w:pPr>
        <w:spacing w:before="80" w:after="0"/>
        <w:ind w:left="-5" w:right="-2" w:hanging="10"/>
        <w:rPr>
          <w:rFonts w:eastAsia="Verdana" w:cs="Verdana"/>
        </w:rPr>
      </w:pPr>
      <w:r w:rsidRPr="007C6717">
        <w:rPr>
          <w:rFonts w:eastAsia="Verdana" w:cs="Verdana"/>
        </w:rPr>
        <w:t xml:space="preserve">[nazwa, adres, dane z KRS] </w:t>
      </w:r>
    </w:p>
    <w:p w14:paraId="03D34BF2" w14:textId="77777777" w:rsidR="00363999" w:rsidRPr="007C6717" w:rsidRDefault="00363999" w:rsidP="00363999">
      <w:pPr>
        <w:spacing w:before="80" w:after="0"/>
        <w:ind w:left="-5" w:right="-2" w:hanging="10"/>
        <w:rPr>
          <w:rFonts w:eastAsia="Verdana" w:cs="Verdana"/>
        </w:rPr>
      </w:pPr>
      <w:r w:rsidRPr="007C6717">
        <w:rPr>
          <w:rFonts w:eastAsia="Verdana" w:cs="Verdana"/>
        </w:rPr>
        <w:t>będący Wykonawcą Kontraktu</w:t>
      </w:r>
    </w:p>
    <w:p w14:paraId="03D34BF3" w14:textId="77777777" w:rsidR="00363999" w:rsidRPr="007C6717" w:rsidRDefault="00363999" w:rsidP="00363999">
      <w:pPr>
        <w:spacing w:before="80" w:after="0"/>
        <w:rPr>
          <w:rFonts w:eastAsia="Verdana" w:cs="Verdana"/>
        </w:rPr>
      </w:pPr>
    </w:p>
    <w:p w14:paraId="03D34BF5" w14:textId="77777777" w:rsidR="00363999" w:rsidRPr="007C6717" w:rsidRDefault="00363999" w:rsidP="00363999">
      <w:pPr>
        <w:spacing w:before="80" w:after="0"/>
        <w:ind w:left="-5" w:right="63" w:hanging="10"/>
        <w:jc w:val="both"/>
        <w:rPr>
          <w:rFonts w:eastAsia="Verdana" w:cs="Verdana"/>
        </w:rPr>
      </w:pPr>
      <w:r w:rsidRPr="007C6717">
        <w:rPr>
          <w:rFonts w:eastAsia="Verdana" w:cs="Verdana"/>
          <w:b/>
          <w:bCs/>
        </w:rPr>
        <w:t>Uprawnionym z tytułu Gwarancji Jakości jest</w:t>
      </w:r>
      <w:r w:rsidRPr="007C6717">
        <w:rPr>
          <w:rFonts w:eastAsia="Verdana" w:cs="Verdana"/>
        </w:rPr>
        <w:t xml:space="preserve">: </w:t>
      </w:r>
    </w:p>
    <w:p w14:paraId="03D34BF7" w14:textId="4D24A808" w:rsidR="00363999" w:rsidRPr="007C6717" w:rsidRDefault="00701657" w:rsidP="00363999">
      <w:pPr>
        <w:spacing w:before="80" w:after="0"/>
        <w:ind w:left="-5" w:right="63" w:hanging="10"/>
        <w:jc w:val="both"/>
        <w:rPr>
          <w:rFonts w:eastAsia="Verdana" w:cs="Verdana"/>
        </w:rPr>
      </w:pPr>
      <w:r w:rsidRPr="007C6717">
        <w:rPr>
          <w:rFonts w:eastAsia="Verdana" w:cs="Verdana"/>
        </w:rPr>
        <w:t>Sieć Badawcza Łukasiewicz – Instytutem Mikroelektroniki i Fotoniki z siedzibą w Warszawie, o adresie przy al. Lotników 32/46, 02-668 Warszawa, wpisanym do rejestru przedsiębiorców Krajowego Rejestru Sądowego prowadzonego przez Sąd Rejonowy dla m. st. Warszawy w Warszawie, XIII Wydział Gospodarczy Krajowego Rejestru Sądowego pod numerem KRS 0000865821, posiadającym numer identyfikacji podatkowej NIP: 5213910680, REGON: 387374918,</w:t>
      </w:r>
    </w:p>
    <w:p w14:paraId="03D34BF8" w14:textId="77777777" w:rsidR="00363999" w:rsidRPr="007C6717" w:rsidRDefault="00363999" w:rsidP="00363999">
      <w:pPr>
        <w:spacing w:before="80" w:after="0"/>
        <w:ind w:left="-5" w:right="63" w:hanging="10"/>
        <w:jc w:val="both"/>
        <w:rPr>
          <w:rFonts w:eastAsia="Verdana" w:cs="Verdana"/>
        </w:rPr>
      </w:pPr>
      <w:r w:rsidRPr="007C6717">
        <w:rPr>
          <w:rFonts w:eastAsia="Verdana" w:cs="Verdana"/>
        </w:rPr>
        <w:t xml:space="preserve">zwany dalej „Zamawiającym”, </w:t>
      </w:r>
    </w:p>
    <w:p w14:paraId="03D34BF9" w14:textId="77777777" w:rsidR="00363999" w:rsidRPr="007C6717" w:rsidRDefault="00363999" w:rsidP="00363999">
      <w:pPr>
        <w:spacing w:before="80" w:after="0"/>
        <w:ind w:left="-5" w:right="63" w:hanging="10"/>
        <w:jc w:val="both"/>
        <w:rPr>
          <w:rFonts w:eastAsia="Verdana" w:cs="Verdana"/>
        </w:rPr>
      </w:pPr>
      <w:r w:rsidRPr="007C6717">
        <w:rPr>
          <w:rFonts w:eastAsia="Verdana" w:cs="Verdana"/>
        </w:rPr>
        <w:t>zwane dalej „Stronami”.</w:t>
      </w:r>
    </w:p>
    <w:p w14:paraId="03D34BFF" w14:textId="4B917556" w:rsidR="00363999" w:rsidRPr="007C6717" w:rsidRDefault="00363999" w:rsidP="00363999">
      <w:pPr>
        <w:spacing w:before="80" w:after="0"/>
        <w:rPr>
          <w:rFonts w:eastAsia="Verdana" w:cs="Verdana"/>
        </w:rPr>
      </w:pPr>
    </w:p>
    <w:p w14:paraId="03D34C00" w14:textId="77777777" w:rsidR="00363999" w:rsidRPr="007C6717" w:rsidRDefault="00363999" w:rsidP="00661C26">
      <w:pPr>
        <w:pStyle w:val="Nagwek1"/>
        <w:numPr>
          <w:ilvl w:val="0"/>
          <w:numId w:val="24"/>
        </w:numPr>
        <w:spacing w:before="80" w:after="0"/>
        <w:ind w:left="567" w:hanging="567"/>
        <w:rPr>
          <w:rFonts w:eastAsia="Verdana"/>
          <w:kern w:val="0"/>
          <w:szCs w:val="20"/>
        </w:rPr>
      </w:pPr>
      <w:bookmarkStart w:id="2" w:name="_Toc455047565"/>
      <w:bookmarkStart w:id="3" w:name="_Toc178671924"/>
      <w:r w:rsidRPr="007C6717">
        <w:rPr>
          <w:rFonts w:eastAsia="Verdana"/>
          <w:kern w:val="0"/>
          <w:szCs w:val="20"/>
        </w:rPr>
        <w:t>CZĘŚĆ OGÓLNA</w:t>
      </w:r>
      <w:bookmarkEnd w:id="2"/>
      <w:bookmarkEnd w:id="3"/>
      <w:r w:rsidRPr="007C6717">
        <w:rPr>
          <w:rFonts w:eastAsia="Verdana"/>
          <w:kern w:val="0"/>
          <w:szCs w:val="20"/>
        </w:rPr>
        <w:t xml:space="preserve"> </w:t>
      </w:r>
    </w:p>
    <w:p w14:paraId="03D34C01" w14:textId="77777777" w:rsidR="00363999" w:rsidRPr="007C6717" w:rsidRDefault="00363999" w:rsidP="00661C26">
      <w:pPr>
        <w:pStyle w:val="Nagwek2"/>
        <w:numPr>
          <w:ilvl w:val="0"/>
          <w:numId w:val="19"/>
        </w:numPr>
        <w:spacing w:before="80" w:after="0"/>
        <w:ind w:left="567" w:hanging="567"/>
        <w:rPr>
          <w:rFonts w:eastAsia="Verdana"/>
          <w:szCs w:val="20"/>
        </w:rPr>
      </w:pPr>
      <w:bookmarkStart w:id="4" w:name="_Toc455047566"/>
      <w:bookmarkStart w:id="5" w:name="_Toc178671925"/>
      <w:r w:rsidRPr="007C6717">
        <w:rPr>
          <w:rFonts w:eastAsia="Verdana"/>
          <w:szCs w:val="20"/>
        </w:rPr>
        <w:t>Przedmiot i Okres Gwarancji Jakości</w:t>
      </w:r>
      <w:bookmarkEnd w:id="4"/>
      <w:bookmarkEnd w:id="5"/>
      <w:r w:rsidRPr="007C6717">
        <w:rPr>
          <w:rFonts w:eastAsia="Verdana"/>
          <w:szCs w:val="20"/>
        </w:rPr>
        <w:t xml:space="preserve"> </w:t>
      </w:r>
    </w:p>
    <w:p w14:paraId="03D34C02" w14:textId="3CC412A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Niniejsza Gwarancja Jakości (dalej zwana również „Gwarancją”) obejmuje całość Robót i Dokumentów Wykonawcy objętych przedmiotem zamówienia (dalej Przedmiotem Umowy) pt. „</w:t>
      </w:r>
      <w:r w:rsidR="00701657" w:rsidRPr="007C6717">
        <w:rPr>
          <w:rFonts w:eastAsia="Verdana" w:cs="Verdana"/>
        </w:rPr>
        <w:t>Zaprojektowanie i budowa zadania inwestycyjnego pn. „Remont i budowa Centrum Kompetencji Mikroelektronika i Fotonika” w ramach Inwestycji A2.4.1 Inwestycje w rozbudowę potencjału badawczego Krajowego Planu Odbudowy i Zwiększania Odporności.</w:t>
      </w:r>
      <w:r w:rsidRPr="007C6717">
        <w:rPr>
          <w:rFonts w:eastAsia="Verdana" w:cs="Verdana"/>
        </w:rPr>
        <w:t>”</w:t>
      </w:r>
      <w:r w:rsidR="00701657" w:rsidRPr="007C6717">
        <w:rPr>
          <w:rFonts w:eastAsia="Verdana" w:cs="Verdana"/>
        </w:rPr>
        <w:t>,</w:t>
      </w:r>
      <w:r w:rsidRPr="007C6717">
        <w:rPr>
          <w:rFonts w:eastAsia="Verdana" w:cs="Verdana"/>
        </w:rPr>
        <w:t xml:space="preserve"> określonych w Umowie oraz w innych dokumentach będących integralną częścią Umowy. Gwarant oświadcza, że niniejsza gwarancja nie wyłącza, nie ogranicza ani nie zawiesza uprawnień Zamawiającego wynikających z Rękojmi za Wady.</w:t>
      </w:r>
      <w:r w:rsidR="00C74E95" w:rsidRPr="007C6717">
        <w:rPr>
          <w:rFonts w:eastAsia="Verdana" w:cs="Verdana"/>
        </w:rPr>
        <w:t xml:space="preserve"> Gwarant udziela gwarancji na sprawne działanie i niezakłóconą eksploatację </w:t>
      </w:r>
      <w:r w:rsidR="00C46217" w:rsidRPr="007C6717">
        <w:rPr>
          <w:rFonts w:eastAsia="Verdana" w:cs="Verdana"/>
        </w:rPr>
        <w:t xml:space="preserve">całego </w:t>
      </w:r>
      <w:r w:rsidR="00C74E95" w:rsidRPr="007C6717">
        <w:rPr>
          <w:rFonts w:eastAsia="Verdana" w:cs="Verdana"/>
        </w:rPr>
        <w:t>Przedmiotu Umowy.</w:t>
      </w:r>
      <w:r w:rsidR="002B3B1C">
        <w:rPr>
          <w:rFonts w:eastAsia="Verdana" w:cs="Verdana"/>
        </w:rPr>
        <w:t xml:space="preserve"> Gwar</w:t>
      </w:r>
      <w:r w:rsidR="00EF087A">
        <w:rPr>
          <w:rFonts w:eastAsia="Verdana" w:cs="Verdana"/>
        </w:rPr>
        <w:t>a</w:t>
      </w:r>
      <w:r w:rsidR="002B3B1C">
        <w:rPr>
          <w:rFonts w:eastAsia="Verdana" w:cs="Verdana"/>
        </w:rPr>
        <w:t xml:space="preserve">nt gwarantuje również, iż złożony przez niego wniosek </w:t>
      </w:r>
      <w:r w:rsidR="008F4660" w:rsidRPr="008F4660">
        <w:rPr>
          <w:rFonts w:eastAsia="Verdana" w:cs="Verdana"/>
        </w:rPr>
        <w:t>o wydanie decyzji o pozwoleniu na użytkowanie</w:t>
      </w:r>
      <w:r w:rsidR="008F4660">
        <w:rPr>
          <w:rFonts w:eastAsia="Verdana" w:cs="Verdana"/>
        </w:rPr>
        <w:t xml:space="preserve"> jest prawidłowy i kompletny, a w przypadku konieczności jego uzupełnienia, czy poprawienia podejmie niezwłocznie niez</w:t>
      </w:r>
      <w:r w:rsidR="00EF087A">
        <w:rPr>
          <w:rFonts w:eastAsia="Verdana" w:cs="Verdana"/>
        </w:rPr>
        <w:t>b</w:t>
      </w:r>
      <w:r w:rsidR="008F4660">
        <w:rPr>
          <w:rFonts w:eastAsia="Verdana" w:cs="Verdana"/>
        </w:rPr>
        <w:t>ędne działania, by pozyt</w:t>
      </w:r>
      <w:r w:rsidR="00EF087A">
        <w:rPr>
          <w:rFonts w:eastAsia="Verdana" w:cs="Verdana"/>
        </w:rPr>
        <w:t>y</w:t>
      </w:r>
      <w:r w:rsidR="008F4660">
        <w:rPr>
          <w:rFonts w:eastAsia="Verdana" w:cs="Verdana"/>
        </w:rPr>
        <w:t>wna decyzja została wydana jak najszybciej.</w:t>
      </w:r>
    </w:p>
    <w:p w14:paraId="03D34C03" w14:textId="40965EF4"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Gwarant oświadcza i zapewnia Zamawiającego, że wykonany przez niego cały Przedmiot Umowy, o którym mowa w punkcie 1.1 </w:t>
      </w:r>
      <w:r w:rsidR="00701657" w:rsidRPr="007C6717">
        <w:rPr>
          <w:rFonts w:eastAsia="Verdana" w:cs="Verdana"/>
        </w:rPr>
        <w:t>powyżej</w:t>
      </w:r>
      <w:r w:rsidRPr="007C6717">
        <w:rPr>
          <w:rFonts w:eastAsia="Verdana" w:cs="Verdana"/>
        </w:rPr>
        <w:t>, został wykonany prawidłowo, zgodnie z zobowiązaniami Wykonawcy, o których mowa w Warunkach Kontraktu, a także zgodnie z najlepszą wiedzą Gwaranta.</w:t>
      </w:r>
    </w:p>
    <w:p w14:paraId="03D34C04" w14:textId="493157B5"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lastRenderedPageBreak/>
        <w:t xml:space="preserve">Poprzez niniejszą Gwarancję Gwarant przyjmuje na siebie odpowiedzialność za Przedmiot Umowy, w tym za Dokumenty Wykonawcy i odpowiedni zakres Przedmiotu Umowy zrealizowany przez </w:t>
      </w:r>
      <w:r w:rsidR="00855083" w:rsidRPr="007C6717">
        <w:rPr>
          <w:rFonts w:eastAsia="Verdana" w:cs="Verdana"/>
        </w:rPr>
        <w:t>P</w:t>
      </w:r>
      <w:r w:rsidRPr="007C6717">
        <w:rPr>
          <w:rFonts w:eastAsia="Verdana" w:cs="Verdana"/>
        </w:rPr>
        <w:t>odwykonawców. Gwarant jest odpowiedzialny wobec Zamawiającego za realizację wszystkich zobowiązań, o których mowa w punkcie 2</w:t>
      </w:r>
      <w:r w:rsidR="00695077" w:rsidRPr="007C6717">
        <w:rPr>
          <w:rFonts w:eastAsia="Verdana" w:cs="Verdana"/>
        </w:rPr>
        <w:t xml:space="preserve"> poniżej</w:t>
      </w:r>
      <w:r w:rsidRPr="007C6717">
        <w:rPr>
          <w:rFonts w:eastAsia="Verdana" w:cs="Verdana"/>
        </w:rPr>
        <w:t>.</w:t>
      </w:r>
    </w:p>
    <w:p w14:paraId="03D34C05"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Okres Gwarancji Jakości jest określony w § 6 Aktu Umowy.</w:t>
      </w:r>
    </w:p>
    <w:p w14:paraId="03D34C06" w14:textId="77777777" w:rsidR="00363999" w:rsidRPr="007C6717" w:rsidRDefault="00363999" w:rsidP="00363999">
      <w:pPr>
        <w:spacing w:before="80" w:after="0"/>
        <w:ind w:left="567" w:right="75"/>
        <w:jc w:val="both"/>
        <w:rPr>
          <w:rFonts w:eastAsia="Verdana" w:cs="Verdana"/>
        </w:rPr>
      </w:pPr>
      <w:r w:rsidRPr="007C6717">
        <w:rPr>
          <w:rFonts w:eastAsia="Verdana" w:cs="Verdana"/>
        </w:rPr>
        <w:t>Okresy, o których mowa w § 6 Aktu Umowy, liczone będą od daty wskazanej w Świadectwie Przejęcia. W przypadku wystawienia Świadectwa Przejęcia z zastrzeżeniem, że istnieją roboty zaległe do wykonania w zakresie objętym Gwarancją Jakości, termin gwarancji jakości dla robót zaległych rozpoczyna swój bieg od daty wskazanej w protokole z przeglądu realizacji robót zaległych, potwierdzającym wykonanie roboty zaległej.</w:t>
      </w:r>
    </w:p>
    <w:p w14:paraId="03D34C07" w14:textId="1418AFC4"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Przed wydaniem Świadectwa Wykonania przedstawiciele Gwaranta, Konsultanta i Zamawiającego zgodnie z Subklauzulą 3.</w:t>
      </w:r>
      <w:r w:rsidR="0056397A" w:rsidRPr="007C6717">
        <w:rPr>
          <w:rFonts w:eastAsia="Verdana" w:cs="Verdana"/>
        </w:rPr>
        <w:t xml:space="preserve">7 </w:t>
      </w:r>
      <w:r w:rsidRPr="007C6717">
        <w:rPr>
          <w:rFonts w:eastAsia="Verdana" w:cs="Verdana"/>
        </w:rPr>
        <w:t>Warunków Kontraktu, ustalą wpływ stwierdzonych odstępstw od postanowień Specyfikacji Technicznych Wykonania i Odbioru Robót Budowlanych na zobowiązania Gwaranta.</w:t>
      </w:r>
    </w:p>
    <w:p w14:paraId="03D34C08" w14:textId="64DEE33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Ilekroć w niniejszej Gwarancji Jakości jest mowa o Wadzie, należy przez to rozumieć </w:t>
      </w:r>
      <w:r w:rsidR="0056397A" w:rsidRPr="007C6717">
        <w:rPr>
          <w:rFonts w:eastAsia="Verdana" w:cs="Verdana"/>
        </w:rPr>
        <w:t xml:space="preserve">Wadę </w:t>
      </w:r>
      <w:r w:rsidRPr="007C6717">
        <w:rPr>
          <w:rFonts w:eastAsia="Verdana" w:cs="Verdana"/>
        </w:rPr>
        <w:t>zdefiniowaną w Subklauzuli 1.1.</w:t>
      </w:r>
      <w:r w:rsidR="0056397A" w:rsidRPr="007C6717">
        <w:rPr>
          <w:rFonts w:eastAsia="Verdana" w:cs="Verdana"/>
        </w:rPr>
        <w:t>101</w:t>
      </w:r>
      <w:r w:rsidRPr="007C6717">
        <w:rPr>
          <w:rFonts w:eastAsia="Verdana" w:cs="Verdana"/>
        </w:rPr>
        <w:t xml:space="preserve"> Warunków Kontraktu.</w:t>
      </w:r>
    </w:p>
    <w:p w14:paraId="03D34C09" w14:textId="77777777" w:rsidR="009234EF" w:rsidRPr="007C6717" w:rsidRDefault="009234EF"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Zamawiający może dochodzić roszczeń z tytułu Gwarancji Jakości także po terminie określonym w punkcie 1.4 , jeżeli poinformował Gwaranta o wystąpieniu wady przed upływem tego terminu.</w:t>
      </w:r>
    </w:p>
    <w:p w14:paraId="03D34C0A"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Ilekroć w postanowieniach jest mowa o „usunięciu Wady” należy przez to rozumieć również wymianę rzeczy wchodzącej w zakres Przedmiotu Umowy na nową, wolną od Wad.</w:t>
      </w:r>
    </w:p>
    <w:p w14:paraId="03D34C0B" w14:textId="77777777" w:rsidR="00363999" w:rsidRPr="007C6717" w:rsidRDefault="00363999" w:rsidP="00363999">
      <w:pPr>
        <w:pStyle w:val="Akapitzlist"/>
        <w:spacing w:before="80" w:after="0"/>
        <w:ind w:left="567" w:right="63"/>
        <w:contextualSpacing w:val="0"/>
        <w:jc w:val="both"/>
        <w:rPr>
          <w:rFonts w:eastAsia="Verdana" w:cs="Verdana"/>
        </w:rPr>
      </w:pPr>
    </w:p>
    <w:p w14:paraId="03D34C0C" w14:textId="77777777" w:rsidR="00363999" w:rsidRPr="007C6717" w:rsidRDefault="00363999" w:rsidP="00661C26">
      <w:pPr>
        <w:pStyle w:val="Nagwek2"/>
        <w:numPr>
          <w:ilvl w:val="0"/>
          <w:numId w:val="19"/>
        </w:numPr>
        <w:spacing w:before="80" w:after="0"/>
        <w:ind w:left="567" w:hanging="567"/>
        <w:rPr>
          <w:rFonts w:eastAsia="Verdana"/>
          <w:szCs w:val="20"/>
        </w:rPr>
      </w:pPr>
      <w:bookmarkStart w:id="6" w:name="_Toc455047567"/>
      <w:bookmarkStart w:id="7" w:name="_Toc178671926"/>
      <w:r w:rsidRPr="007C6717">
        <w:rPr>
          <w:rFonts w:eastAsia="Verdana"/>
          <w:szCs w:val="20"/>
        </w:rPr>
        <w:t>Obowiązki i uprawnienia Stron</w:t>
      </w:r>
      <w:bookmarkEnd w:id="6"/>
      <w:bookmarkEnd w:id="7"/>
      <w:r w:rsidRPr="007C6717">
        <w:rPr>
          <w:rFonts w:eastAsia="Verdana"/>
          <w:szCs w:val="20"/>
        </w:rPr>
        <w:t xml:space="preserve"> </w:t>
      </w:r>
    </w:p>
    <w:p w14:paraId="03D34C0D"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ujawnienia jakiejkolwiek Wady w Przedmiocie Umowy Gwarant jest zobowiązany do: </w:t>
      </w:r>
    </w:p>
    <w:p w14:paraId="03D34C0E" w14:textId="77777777" w:rsidR="00363999" w:rsidRPr="007C6717" w:rsidRDefault="00363999" w:rsidP="00661C26">
      <w:pPr>
        <w:numPr>
          <w:ilvl w:val="0"/>
          <w:numId w:val="20"/>
        </w:numPr>
        <w:spacing w:before="80" w:after="0"/>
        <w:ind w:left="993" w:right="63" w:hanging="426"/>
        <w:jc w:val="both"/>
        <w:rPr>
          <w:rFonts w:eastAsia="Verdana" w:cs="Verdana"/>
        </w:rPr>
      </w:pPr>
      <w:r w:rsidRPr="007C6717">
        <w:rPr>
          <w:rFonts w:eastAsia="Verdana" w:cs="Verdana"/>
        </w:rPr>
        <w:t xml:space="preserve">terminowego spełnienia żądania Zamawiającego dotyczącego nieodpłatnego usunięcia Wady oraz trybu jej usunięcia, </w:t>
      </w:r>
    </w:p>
    <w:p w14:paraId="03D34C0F" w14:textId="77777777" w:rsidR="00363999" w:rsidRPr="007C6717" w:rsidRDefault="00363999" w:rsidP="00661C26">
      <w:pPr>
        <w:numPr>
          <w:ilvl w:val="0"/>
          <w:numId w:val="20"/>
        </w:numPr>
        <w:spacing w:before="80" w:after="0"/>
        <w:ind w:left="993" w:right="63" w:hanging="426"/>
        <w:jc w:val="both"/>
        <w:rPr>
          <w:rFonts w:eastAsia="Verdana" w:cs="Verdana"/>
        </w:rPr>
      </w:pPr>
      <w:r w:rsidRPr="007C6717">
        <w:rPr>
          <w:rFonts w:eastAsia="Verdana" w:cs="Verdana"/>
        </w:rPr>
        <w:t>terminowego spełnienia żądania Zamawiającego dotyczącego nieodpłatnej wymiany rzeczy na wolną od Wad oraz trybu jej wymiany.</w:t>
      </w:r>
    </w:p>
    <w:p w14:paraId="03D34C10"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ujawnienia jakiejkolwiek Wady w Przedmiocie Umowy, Zamawiający jest uprawniony do: </w:t>
      </w:r>
    </w:p>
    <w:p w14:paraId="03D34C11" w14:textId="77777777" w:rsidR="00363999" w:rsidRPr="007C6717" w:rsidRDefault="009234EF" w:rsidP="00661C26">
      <w:pPr>
        <w:numPr>
          <w:ilvl w:val="0"/>
          <w:numId w:val="21"/>
        </w:numPr>
        <w:spacing w:before="80" w:after="0"/>
        <w:ind w:left="993" w:right="63" w:hanging="426"/>
        <w:jc w:val="both"/>
        <w:rPr>
          <w:rFonts w:eastAsia="Verdana" w:cs="Verdana"/>
        </w:rPr>
      </w:pPr>
      <w:r w:rsidRPr="007C6717">
        <w:rPr>
          <w:rFonts w:eastAsia="Verdana" w:cs="Verdana"/>
        </w:rPr>
        <w:t>żądania nieodpłatnego usunięcia Wady, a w przypadku, gdy dana rzecz wchodząca w zakres Przedmiotu Umowy była już dwukrotnie naprawiana lub wymieniana – do żądania wymiany tej rzeczy lub jej części na nową, wolną od Wad;</w:t>
      </w:r>
    </w:p>
    <w:p w14:paraId="3190E74D" w14:textId="62F0A048" w:rsidR="00C74E95" w:rsidRPr="007C6717" w:rsidRDefault="00363999" w:rsidP="00661C26">
      <w:pPr>
        <w:numPr>
          <w:ilvl w:val="0"/>
          <w:numId w:val="21"/>
        </w:numPr>
        <w:spacing w:before="80" w:after="0"/>
        <w:ind w:left="993" w:right="63" w:hanging="426"/>
        <w:jc w:val="both"/>
        <w:rPr>
          <w:rFonts w:eastAsia="Verdana" w:cs="Verdana"/>
        </w:rPr>
      </w:pPr>
      <w:r w:rsidRPr="007C6717">
        <w:rPr>
          <w:rFonts w:eastAsia="Verdana" w:cs="Verdana"/>
        </w:rPr>
        <w:t>wskazania trybu usunięcia Wady lub wymiany rzeczy na wolną od Wad</w:t>
      </w:r>
      <w:r w:rsidR="000D121E" w:rsidRPr="007C6717">
        <w:rPr>
          <w:rFonts w:eastAsia="Verdana" w:cs="Verdana"/>
        </w:rPr>
        <w:t>;</w:t>
      </w:r>
    </w:p>
    <w:p w14:paraId="03D34C12" w14:textId="63993619" w:rsidR="00363999" w:rsidRPr="007C6717" w:rsidRDefault="00C74E95" w:rsidP="00661C26">
      <w:pPr>
        <w:numPr>
          <w:ilvl w:val="0"/>
          <w:numId w:val="21"/>
        </w:numPr>
        <w:spacing w:before="80" w:after="0"/>
        <w:ind w:left="993" w:right="63" w:hanging="426"/>
        <w:jc w:val="both"/>
        <w:rPr>
          <w:rFonts w:eastAsia="Verdana" w:cs="Verdana"/>
        </w:rPr>
      </w:pPr>
      <w:r w:rsidRPr="007C6717">
        <w:rPr>
          <w:rFonts w:eastAsia="Verdana" w:cs="Verdana"/>
        </w:rPr>
        <w:t xml:space="preserve"> zlecenia usunięcia Wad i szkód spowodowanych przez Wady na koszt Gwaranta innemu podmiotowi po bezskutecznym upływie wyznaczonego przez Zamawiającego terminu na ich usunięcie. Niezależnie od tego Zamawiający może żądać od Gwaranta naprawienia szkody wynikłej ze zwłoki w przystąpieniu do usuwania wad</w:t>
      </w:r>
      <w:r w:rsidR="00363999" w:rsidRPr="007C6717">
        <w:rPr>
          <w:rFonts w:eastAsia="Verdana" w:cs="Verdana"/>
        </w:rPr>
        <w:t>.</w:t>
      </w:r>
    </w:p>
    <w:p w14:paraId="03D34C13" w14:textId="77777777" w:rsidR="00363999" w:rsidRPr="007C6717" w:rsidRDefault="00363999" w:rsidP="00AF0120">
      <w:pPr>
        <w:spacing w:before="80" w:after="0"/>
        <w:ind w:left="567" w:right="63"/>
        <w:jc w:val="both"/>
        <w:rPr>
          <w:rFonts w:eastAsia="Verdana" w:cs="Verdana"/>
        </w:rPr>
      </w:pPr>
    </w:p>
    <w:p w14:paraId="03D34C14" w14:textId="77777777" w:rsidR="00AF0120" w:rsidRPr="007C6717" w:rsidRDefault="00363999" w:rsidP="00661C26">
      <w:pPr>
        <w:pStyle w:val="Nagwek2"/>
        <w:numPr>
          <w:ilvl w:val="0"/>
          <w:numId w:val="19"/>
        </w:numPr>
        <w:spacing w:before="80" w:after="0"/>
        <w:ind w:left="567" w:hanging="567"/>
        <w:jc w:val="both"/>
        <w:rPr>
          <w:rFonts w:eastAsia="Verdana"/>
          <w:szCs w:val="20"/>
        </w:rPr>
      </w:pPr>
      <w:bookmarkStart w:id="8" w:name="_Toc455047568"/>
      <w:bookmarkStart w:id="9" w:name="_Toc178671927"/>
      <w:r w:rsidRPr="007C6717">
        <w:rPr>
          <w:rFonts w:eastAsia="Verdana"/>
          <w:szCs w:val="20"/>
        </w:rPr>
        <w:lastRenderedPageBreak/>
        <w:t>Upoważnienie Zamawiającego (pełnomocnictwo)</w:t>
      </w:r>
      <w:bookmarkEnd w:id="8"/>
      <w:bookmarkEnd w:id="9"/>
    </w:p>
    <w:p w14:paraId="03D34C15" w14:textId="77777777" w:rsidR="00AF0120" w:rsidRPr="007C6717" w:rsidRDefault="00AF0120" w:rsidP="00AF0120">
      <w:pPr>
        <w:pStyle w:val="Akapitzlist"/>
        <w:spacing w:before="80" w:after="0"/>
        <w:ind w:left="567"/>
        <w:contextualSpacing w:val="0"/>
        <w:jc w:val="both"/>
        <w:rPr>
          <w:rFonts w:eastAsia="Verdana" w:cs="Verdana"/>
        </w:rPr>
      </w:pPr>
      <w:r w:rsidRPr="007C6717">
        <w:rPr>
          <w:rFonts w:eastAsia="Verdana" w:cs="Verdana"/>
        </w:rPr>
        <w:t xml:space="preserve">Niezależnie od udzielonej gwarancji, Gwarant niniejszym upoważnia Zamawiającego do wykonywania uprawnień z gwarancji przysługujących Gwarantowi wobec podmiotów, wobec których Gwarantowi przysługują takie uprawnienia, tj. w szczególności wobec producentów urządzeń, </w:t>
      </w:r>
      <w:r w:rsidR="00855083" w:rsidRPr="007C6717">
        <w:rPr>
          <w:rFonts w:eastAsia="Verdana" w:cs="Verdana"/>
        </w:rPr>
        <w:t>P</w:t>
      </w:r>
      <w:r w:rsidRPr="007C6717">
        <w:rPr>
          <w:rFonts w:eastAsia="Verdana" w:cs="Verdana"/>
        </w:rPr>
        <w:t>odwykonawców.</w:t>
      </w:r>
    </w:p>
    <w:p w14:paraId="03D34C16" w14:textId="77777777" w:rsidR="00363999" w:rsidRPr="007C6717" w:rsidRDefault="00363999" w:rsidP="00363999">
      <w:pPr>
        <w:spacing w:before="80" w:after="0"/>
        <w:ind w:left="567" w:right="63"/>
        <w:jc w:val="both"/>
        <w:rPr>
          <w:rFonts w:eastAsia="Verdana" w:cs="Verdana"/>
        </w:rPr>
      </w:pPr>
    </w:p>
    <w:p w14:paraId="03D34C17" w14:textId="77777777" w:rsidR="00363999" w:rsidRPr="007C6717" w:rsidRDefault="00363999" w:rsidP="00661C26">
      <w:pPr>
        <w:pStyle w:val="Nagwek2"/>
        <w:numPr>
          <w:ilvl w:val="0"/>
          <w:numId w:val="19"/>
        </w:numPr>
        <w:spacing w:before="80" w:after="0"/>
        <w:ind w:left="567" w:hanging="567"/>
        <w:jc w:val="both"/>
        <w:rPr>
          <w:rFonts w:eastAsia="Verdana"/>
          <w:szCs w:val="20"/>
        </w:rPr>
      </w:pPr>
      <w:bookmarkStart w:id="10" w:name="_Toc455047569"/>
      <w:bookmarkStart w:id="11" w:name="_Toc178671928"/>
      <w:r w:rsidRPr="007C6717">
        <w:rPr>
          <w:rFonts w:eastAsia="Verdana"/>
          <w:szCs w:val="20"/>
        </w:rPr>
        <w:t>Komisyjne Przeglądy Gwarancyjne</w:t>
      </w:r>
      <w:bookmarkEnd w:id="10"/>
      <w:bookmarkEnd w:id="11"/>
      <w:r w:rsidRPr="007C6717">
        <w:rPr>
          <w:rFonts w:eastAsia="Verdana"/>
          <w:szCs w:val="20"/>
        </w:rPr>
        <w:t xml:space="preserve"> </w:t>
      </w:r>
    </w:p>
    <w:p w14:paraId="03D34C18" w14:textId="77777777" w:rsidR="00363999" w:rsidRPr="007C6717" w:rsidRDefault="00363999" w:rsidP="00661C26">
      <w:pPr>
        <w:pStyle w:val="Akapitzlist"/>
        <w:numPr>
          <w:ilvl w:val="1"/>
          <w:numId w:val="19"/>
        </w:numPr>
        <w:spacing w:before="80" w:after="0"/>
        <w:ind w:left="567" w:hanging="567"/>
        <w:contextualSpacing w:val="0"/>
        <w:jc w:val="both"/>
        <w:rPr>
          <w:rFonts w:eastAsia="Verdana" w:cs="Verdana"/>
        </w:rPr>
      </w:pPr>
      <w:r w:rsidRPr="007C6717">
        <w:rPr>
          <w:rFonts w:eastAsia="Verdana" w:cs="Verdana"/>
        </w:rPr>
        <w:t>Komisyjne Przeglądy Gwarancyjne odbywać się będą według uznania Zamawiającego, nie rzadziej niż raz w roku i zawsze, kiedy Zamawiający uzna to za uzasadnione w okresie obowiązywania Gwarancji.</w:t>
      </w:r>
    </w:p>
    <w:p w14:paraId="03D34C1A" w14:textId="1720C7B8" w:rsidR="00363999" w:rsidRPr="007C6717" w:rsidRDefault="00363999" w:rsidP="00661C26">
      <w:pPr>
        <w:pStyle w:val="Akapitzlist"/>
        <w:numPr>
          <w:ilvl w:val="1"/>
          <w:numId w:val="19"/>
        </w:numPr>
        <w:spacing w:before="80" w:after="0"/>
        <w:ind w:left="567" w:hanging="567"/>
        <w:contextualSpacing w:val="0"/>
        <w:jc w:val="both"/>
      </w:pPr>
      <w:r w:rsidRPr="007C6717">
        <w:t xml:space="preserve">Datę, godzinę i miejsce dokonania Komisyjnego Przeglądu Gwarancyjnego dla </w:t>
      </w:r>
      <w:r w:rsidR="009234EF" w:rsidRPr="007C6717">
        <w:t>K</w:t>
      </w:r>
      <w:r w:rsidRPr="007C6717">
        <w:t xml:space="preserve">omisji </w:t>
      </w:r>
      <w:r w:rsidR="009234EF" w:rsidRPr="007C6717">
        <w:t>P</w:t>
      </w:r>
      <w:r w:rsidRPr="007C6717">
        <w:t>rzegląd</w:t>
      </w:r>
      <w:r w:rsidR="009234EF" w:rsidRPr="007C6717">
        <w:t>u Gwarancyjnego</w:t>
      </w:r>
      <w:r w:rsidRPr="007C6717">
        <w:t xml:space="preserve"> wyznacza Zamawiający, zawiadamiając o nim Gwaranta na piśmie, z co najmniej </w:t>
      </w:r>
      <w:r w:rsidR="009234EF" w:rsidRPr="007C6717">
        <w:t>14</w:t>
      </w:r>
      <w:r w:rsidRPr="007C6717">
        <w:t>-dniowym wyprzedzeniem. Gwarant jest obowiązany uczestniczyć w Komisyjnych Przeglądach Gwarancyjnych.</w:t>
      </w:r>
    </w:p>
    <w:p w14:paraId="03D34C1B" w14:textId="77777777" w:rsidR="009234EF" w:rsidRPr="007C6717" w:rsidRDefault="009234EF" w:rsidP="008A5D94">
      <w:pPr>
        <w:pStyle w:val="Akapitzlist"/>
        <w:numPr>
          <w:ilvl w:val="1"/>
          <w:numId w:val="19"/>
        </w:numPr>
        <w:spacing w:before="80" w:after="0"/>
        <w:ind w:left="567" w:hanging="567"/>
        <w:contextualSpacing w:val="0"/>
        <w:jc w:val="both"/>
      </w:pPr>
      <w:r w:rsidRPr="007C6717">
        <w:t>W skład każdej Komisji Przeglądu Gwarancyjnego będą wchodziły co najmniej dwie osoby wyznaczone przez Zamawiającego oraz co najmniej dwie osoby wyznaczone przez Gwaranta, posiadające stosowne pełnomocnictwa do działania w jego imieniu.</w:t>
      </w:r>
    </w:p>
    <w:p w14:paraId="03D34C1D"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Z każdego Komisyjnego Przeglądu Gwarancyjnego sporządzany będzie szczegółowy Protokół Komisyjnego Przeglądu Gwarancyjnego, w co najmniej dwóch egzemplarzach, po jednym dla Zamawiającego i dla Gwaranta. W przypadku nieobecności </w:t>
      </w:r>
      <w:r w:rsidR="005C5559" w:rsidRPr="007C6717">
        <w:rPr>
          <w:rFonts w:eastAsia="Verdana" w:cs="Verdana"/>
        </w:rPr>
        <w:t xml:space="preserve">pełnomocników </w:t>
      </w:r>
      <w:r w:rsidRPr="007C6717">
        <w:rPr>
          <w:rFonts w:eastAsia="Verdana" w:cs="Verdana"/>
        </w:rPr>
        <w:t>Gwaranta w komisji, Zamawiający niezwłocznie prześle Gwarantowi jeden egzemplarz Protokołu Komisyjnego Przeglądu Gwarancyjnego.</w:t>
      </w:r>
    </w:p>
    <w:p w14:paraId="03D34C1E" w14:textId="77777777" w:rsidR="009234EF" w:rsidRPr="007C6717" w:rsidRDefault="009234EF" w:rsidP="008A697D">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odmowy przez </w:t>
      </w:r>
      <w:r w:rsidR="005C5559" w:rsidRPr="007C6717">
        <w:rPr>
          <w:rFonts w:eastAsia="Verdana" w:cs="Verdana"/>
        </w:rPr>
        <w:t xml:space="preserve">pełnomocników </w:t>
      </w:r>
      <w:r w:rsidRPr="007C6717">
        <w:rPr>
          <w:rFonts w:eastAsia="Verdana" w:cs="Verdana"/>
        </w:rPr>
        <w:t xml:space="preserve">Gwaranta podpisania Protokołu Komisyjnego Przeglądu Gwarancyjnego, Zamawiający będzie uprawniony do jednostronnego podpisania Protokołu Komisyjnego Przeglądu Gwarancyjnego, przy czym brak podpisania Protokołu przez Gwaranta nie będzie wywoływał żadnych ujemnych skutków dla ważności i skuteczności ustaleń dokonanych przez komisję przeglądową. Fakt odmowy złożenia podpisu przez </w:t>
      </w:r>
      <w:r w:rsidR="005C5559" w:rsidRPr="007C6717">
        <w:rPr>
          <w:rFonts w:eastAsia="Verdana" w:cs="Verdana"/>
        </w:rPr>
        <w:t xml:space="preserve">pełnomocników </w:t>
      </w:r>
      <w:r w:rsidRPr="007C6717">
        <w:rPr>
          <w:rFonts w:eastAsia="Verdana" w:cs="Verdana"/>
        </w:rPr>
        <w:t>Gwaranta zostanie odnotowany w Protokole Komisyjnego Przeglądu Gwarancyjnego</w:t>
      </w:r>
    </w:p>
    <w:p w14:paraId="03D34C1F" w14:textId="3E31A5C5" w:rsidR="005C5559" w:rsidRPr="007C6717" w:rsidRDefault="005C555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Jeżeli Gwarant został prawidłowo zawiadomiony o terminie i miejscu dokonania Komisyjnego Przeglądu Gwarancyjnego, tj. zgodnie z punktem 4.</w:t>
      </w:r>
      <w:r w:rsidR="000B1471" w:rsidRPr="007C6717">
        <w:rPr>
          <w:rFonts w:eastAsia="Verdana" w:cs="Verdana"/>
        </w:rPr>
        <w:t>2</w:t>
      </w:r>
      <w:r w:rsidRPr="007C6717">
        <w:rPr>
          <w:rFonts w:eastAsia="Verdana" w:cs="Verdana"/>
        </w:rPr>
        <w:t>, niestawienie się jego pełnomonicków nie będzie wywoływało żadnych ujemnych skutków dla ważności i skuteczności ustaleń dokonanych przez komisję przeglądową. W takim przypadku Zamawiający jest uprawniony do jednostronnego podpisania Protokołu Komisyjnego Przeglądu Gwarancyjnego, który zostanie niezwłocznie przesłany przez Zamawiającego do Gwaranta zgodnie z zasadami określonymi w punkcie 6.</w:t>
      </w:r>
    </w:p>
    <w:p w14:paraId="03D34C20"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W przypadku niestawiennictwa p</w:t>
      </w:r>
      <w:r w:rsidR="005C5559" w:rsidRPr="007C6717">
        <w:rPr>
          <w:rFonts w:eastAsia="Verdana" w:cs="Verdana"/>
        </w:rPr>
        <w:t>ełnomocników</w:t>
      </w:r>
      <w:r w:rsidRPr="007C6717">
        <w:rPr>
          <w:rFonts w:eastAsia="Verdana" w:cs="Verdana"/>
        </w:rPr>
        <w:t xml:space="preserve"> Gwaranta w komisji w miejscu dokonania Komisyjnego Przeglądu Gwarancyjnego bądź niewypełnienie przez Gwaranta innych zobowiązań określonych w niniejszej gwarancji, jeżeli na skutek tego nie będzie możliwe wykonanie przeglądu, Zamawiający będzie uprawniony do zlecenia wykonania przeglądu podmiotowi trzeciemu, a Gwarant zostanie obciążony kosztami przeprowadzenia przeglądu.</w:t>
      </w:r>
    </w:p>
    <w:p w14:paraId="03D34C21" w14:textId="77777777" w:rsidR="00363999" w:rsidRPr="007C6717" w:rsidRDefault="00363999" w:rsidP="00363999">
      <w:pPr>
        <w:pStyle w:val="Akapitzlist"/>
        <w:spacing w:before="80" w:after="0"/>
        <w:ind w:left="567" w:right="63"/>
        <w:contextualSpacing w:val="0"/>
        <w:jc w:val="both"/>
        <w:rPr>
          <w:rFonts w:eastAsia="Verdana" w:cs="Verdana"/>
        </w:rPr>
      </w:pPr>
    </w:p>
    <w:p w14:paraId="03D34C22" w14:textId="77777777" w:rsidR="00363999" w:rsidRPr="007C6717" w:rsidRDefault="00363999" w:rsidP="00661C26">
      <w:pPr>
        <w:pStyle w:val="Nagwek2"/>
        <w:numPr>
          <w:ilvl w:val="0"/>
          <w:numId w:val="19"/>
        </w:numPr>
        <w:spacing w:before="80" w:after="0"/>
        <w:ind w:left="567" w:hanging="567"/>
        <w:rPr>
          <w:rFonts w:eastAsia="Verdana"/>
          <w:szCs w:val="20"/>
        </w:rPr>
      </w:pPr>
      <w:bookmarkStart w:id="12" w:name="_Toc455047570"/>
      <w:bookmarkStart w:id="13" w:name="_Toc178671929"/>
      <w:r w:rsidRPr="007C6717">
        <w:rPr>
          <w:rFonts w:eastAsia="Verdana"/>
          <w:szCs w:val="20"/>
        </w:rPr>
        <w:t>Tryb usuwania Wad</w:t>
      </w:r>
      <w:bookmarkEnd w:id="12"/>
      <w:bookmarkEnd w:id="13"/>
    </w:p>
    <w:p w14:paraId="03D34C23" w14:textId="77777777" w:rsidR="00363999" w:rsidRPr="007C6717" w:rsidRDefault="00363999" w:rsidP="00661C26">
      <w:pPr>
        <w:pStyle w:val="Akapitzlist"/>
        <w:numPr>
          <w:ilvl w:val="1"/>
          <w:numId w:val="25"/>
        </w:numPr>
        <w:spacing w:before="80" w:after="0"/>
        <w:ind w:left="567" w:right="63" w:hanging="567"/>
        <w:contextualSpacing w:val="0"/>
        <w:jc w:val="both"/>
        <w:rPr>
          <w:rFonts w:eastAsia="Verdana" w:cs="Verdana"/>
        </w:rPr>
      </w:pPr>
      <w:r w:rsidRPr="007C6717">
        <w:rPr>
          <w:rFonts w:eastAsia="Verdana" w:cs="Verdana"/>
        </w:rPr>
        <w:t>Gwarant obowiązany jest rozpocząć usuwanie ujawnionej Wady według przedstawionych w tabeli 1 wymagań technicznych oraz czasowych:</w:t>
      </w:r>
    </w:p>
    <w:p w14:paraId="03D34C24" w14:textId="77777777" w:rsidR="00363999" w:rsidRPr="007C6717" w:rsidRDefault="00363999" w:rsidP="00363999">
      <w:pPr>
        <w:tabs>
          <w:tab w:val="left" w:pos="1134"/>
        </w:tabs>
        <w:spacing w:before="80" w:after="0"/>
        <w:ind w:left="-5" w:right="63" w:hanging="10"/>
        <w:jc w:val="both"/>
        <w:rPr>
          <w:rFonts w:eastAsia="Verdana" w:cs="Verdana"/>
        </w:rPr>
      </w:pPr>
      <w:r w:rsidRPr="007C6717">
        <w:rPr>
          <w:rFonts w:eastAsia="Verdana" w:cs="Verdana"/>
        </w:rPr>
        <w:lastRenderedPageBreak/>
        <w:t>Tabela 1.</w:t>
      </w:r>
      <w:r w:rsidRPr="007C6717">
        <w:rPr>
          <w:rFonts w:eastAsia="Verdana" w:cs="Verdana"/>
        </w:rPr>
        <w:tab/>
        <w:t>Wymagania techniczne oraz czasowe dla usuwania Wad.</w:t>
      </w:r>
    </w:p>
    <w:tbl>
      <w:tblPr>
        <w:tblStyle w:val="Siatkatabelijasna1"/>
        <w:tblW w:w="9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3119"/>
        <w:gridCol w:w="3382"/>
      </w:tblGrid>
      <w:tr w:rsidR="00363999" w:rsidRPr="007C6717" w14:paraId="03D34C28" w14:textId="77777777" w:rsidTr="00BD40BF">
        <w:trPr>
          <w:cantSplit/>
          <w:trHeight w:val="239"/>
        </w:trPr>
        <w:tc>
          <w:tcPr>
            <w:tcW w:w="2835" w:type="dxa"/>
            <w:vAlign w:val="center"/>
          </w:tcPr>
          <w:p w14:paraId="03D34C25"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Klasyfikacja Wad</w:t>
            </w:r>
          </w:p>
        </w:tc>
        <w:tc>
          <w:tcPr>
            <w:tcW w:w="3119" w:type="dxa"/>
            <w:vAlign w:val="center"/>
          </w:tcPr>
          <w:p w14:paraId="03D34C26"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Reakcja Gwaranta</w:t>
            </w:r>
          </w:p>
        </w:tc>
        <w:tc>
          <w:tcPr>
            <w:tcW w:w="3382" w:type="dxa"/>
            <w:vAlign w:val="center"/>
          </w:tcPr>
          <w:p w14:paraId="03D34C27"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 xml:space="preserve">Wymagany czas reakcji </w:t>
            </w:r>
          </w:p>
        </w:tc>
      </w:tr>
      <w:tr w:rsidR="00363999" w:rsidRPr="007C6717" w14:paraId="03D34C2D" w14:textId="77777777" w:rsidTr="00BD40BF">
        <w:trPr>
          <w:cantSplit/>
          <w:trHeight w:val="378"/>
        </w:trPr>
        <w:tc>
          <w:tcPr>
            <w:tcW w:w="2835" w:type="dxa"/>
            <w:vMerge w:val="restart"/>
            <w:vAlign w:val="center"/>
          </w:tcPr>
          <w:p w14:paraId="03D34C29"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Wady Istotne</w:t>
            </w:r>
          </w:p>
          <w:p w14:paraId="03D34C2A" w14:textId="1881D4AC" w:rsidR="00363999" w:rsidRPr="007C6717" w:rsidRDefault="00B71804" w:rsidP="00BD40BF">
            <w:pPr>
              <w:spacing w:before="80" w:after="0"/>
              <w:ind w:left="11" w:right="68" w:hanging="11"/>
              <w:jc w:val="center"/>
              <w:rPr>
                <w:rFonts w:eastAsia="Verdana" w:cs="Verdana"/>
                <w:sz w:val="18"/>
              </w:rPr>
            </w:pPr>
            <w:r w:rsidRPr="007C6717">
              <w:rPr>
                <w:rFonts w:eastAsia="Verdana" w:cs="Verdana"/>
                <w:sz w:val="18"/>
              </w:rPr>
              <w:t>(tj. wady uniemożliwiające prowadzenie działalności przez Zmawiaj</w:t>
            </w:r>
            <w:r w:rsidR="000D121E" w:rsidRPr="007C6717">
              <w:rPr>
                <w:rFonts w:eastAsia="Verdana" w:cs="Verdana"/>
                <w:sz w:val="18"/>
              </w:rPr>
              <w:t>ą</w:t>
            </w:r>
            <w:r w:rsidRPr="007C6717">
              <w:rPr>
                <w:rFonts w:eastAsia="Verdana" w:cs="Verdana"/>
                <w:sz w:val="18"/>
              </w:rPr>
              <w:t>cego)</w:t>
            </w:r>
          </w:p>
        </w:tc>
        <w:tc>
          <w:tcPr>
            <w:tcW w:w="3119" w:type="dxa"/>
            <w:vAlign w:val="center"/>
          </w:tcPr>
          <w:p w14:paraId="03D34C2B"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1) Potwierdzenie przyjęcia powiadomienia o wystąpieniu Wady i określenie sposobu usunięcia Wady</w:t>
            </w:r>
          </w:p>
        </w:tc>
        <w:tc>
          <w:tcPr>
            <w:tcW w:w="3382" w:type="dxa"/>
            <w:vAlign w:val="center"/>
          </w:tcPr>
          <w:p w14:paraId="03D34C2C"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Do 24 h od chwili powiadomienia o wystąpieniu Wady</w:t>
            </w:r>
          </w:p>
        </w:tc>
      </w:tr>
      <w:tr w:rsidR="00363999" w:rsidRPr="007C6717" w14:paraId="03D34C31" w14:textId="77777777" w:rsidTr="00BD40BF">
        <w:trPr>
          <w:cantSplit/>
          <w:trHeight w:val="385"/>
        </w:trPr>
        <w:tc>
          <w:tcPr>
            <w:tcW w:w="2835" w:type="dxa"/>
            <w:vMerge/>
            <w:vAlign w:val="center"/>
          </w:tcPr>
          <w:p w14:paraId="03D34C2E" w14:textId="77777777" w:rsidR="00363999" w:rsidRPr="007C6717" w:rsidRDefault="00363999" w:rsidP="00BD40BF">
            <w:pPr>
              <w:spacing w:before="80" w:after="0"/>
              <w:ind w:left="11" w:right="68" w:hanging="11"/>
              <w:jc w:val="center"/>
              <w:rPr>
                <w:rFonts w:eastAsia="Verdana" w:cs="Verdana"/>
                <w:sz w:val="18"/>
              </w:rPr>
            </w:pPr>
          </w:p>
        </w:tc>
        <w:tc>
          <w:tcPr>
            <w:tcW w:w="3119" w:type="dxa"/>
            <w:vAlign w:val="center"/>
          </w:tcPr>
          <w:p w14:paraId="03D34C2F" w14:textId="44F61EB6" w:rsidR="00363999" w:rsidRPr="007C6717" w:rsidRDefault="0054384F" w:rsidP="00BD40BF">
            <w:pPr>
              <w:spacing w:before="80" w:after="0"/>
              <w:ind w:left="11" w:right="68" w:hanging="11"/>
              <w:jc w:val="center"/>
              <w:rPr>
                <w:rFonts w:eastAsia="Verdana" w:cs="Verdana"/>
                <w:sz w:val="18"/>
              </w:rPr>
            </w:pPr>
            <w:r w:rsidRPr="007C6717">
              <w:rPr>
                <w:rFonts w:eastAsia="Verdana" w:cs="Verdana"/>
                <w:sz w:val="18"/>
              </w:rPr>
              <w:t>2) Całkowite usunięcie Wady</w:t>
            </w:r>
          </w:p>
        </w:tc>
        <w:tc>
          <w:tcPr>
            <w:tcW w:w="3382" w:type="dxa"/>
            <w:vAlign w:val="center"/>
          </w:tcPr>
          <w:p w14:paraId="03D34C30" w14:textId="2522214F"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 xml:space="preserve">Do </w:t>
            </w:r>
            <w:r w:rsidR="0054384F" w:rsidRPr="007C6717">
              <w:rPr>
                <w:rFonts w:eastAsia="Verdana" w:cs="Verdana"/>
                <w:sz w:val="18"/>
              </w:rPr>
              <w:t>2</w:t>
            </w:r>
            <w:r w:rsidRPr="007C6717">
              <w:rPr>
                <w:rFonts w:eastAsia="Verdana" w:cs="Verdana"/>
                <w:sz w:val="18"/>
              </w:rPr>
              <w:t xml:space="preserve"> </w:t>
            </w:r>
            <w:r w:rsidR="0054384F" w:rsidRPr="007C6717">
              <w:rPr>
                <w:rFonts w:eastAsia="Verdana" w:cs="Verdana"/>
                <w:sz w:val="18"/>
              </w:rPr>
              <w:t>dni</w:t>
            </w:r>
            <w:r w:rsidRPr="007C6717">
              <w:rPr>
                <w:rFonts w:eastAsia="Verdana" w:cs="Verdana"/>
                <w:sz w:val="18"/>
              </w:rPr>
              <w:t xml:space="preserve"> od chwili powiadomienia</w:t>
            </w:r>
            <w:r w:rsidRPr="007C6717">
              <w:rPr>
                <w:sz w:val="18"/>
              </w:rPr>
              <w:t xml:space="preserve"> </w:t>
            </w:r>
            <w:r w:rsidRPr="007C6717">
              <w:rPr>
                <w:rFonts w:eastAsia="Verdana" w:cs="Verdana"/>
                <w:sz w:val="18"/>
              </w:rPr>
              <w:t>o wystąpieniu Wady</w:t>
            </w:r>
            <w:r w:rsidR="000D121E" w:rsidRPr="007C6717">
              <w:rPr>
                <w:rFonts w:eastAsia="Verdana" w:cs="Verdana"/>
                <w:sz w:val="18"/>
              </w:rPr>
              <w:t xml:space="preserve"> </w:t>
            </w:r>
          </w:p>
        </w:tc>
      </w:tr>
      <w:tr w:rsidR="00363999" w:rsidRPr="007C6717" w14:paraId="03D34C3A" w14:textId="77777777" w:rsidTr="00BD40BF">
        <w:trPr>
          <w:cantSplit/>
          <w:trHeight w:val="378"/>
        </w:trPr>
        <w:tc>
          <w:tcPr>
            <w:tcW w:w="2835" w:type="dxa"/>
            <w:vMerge w:val="restart"/>
            <w:vAlign w:val="center"/>
          </w:tcPr>
          <w:p w14:paraId="03D34C36" w14:textId="77777777" w:rsidR="00363999" w:rsidRPr="007C6717" w:rsidRDefault="00363999" w:rsidP="00BD40BF">
            <w:pPr>
              <w:spacing w:before="80" w:after="0"/>
              <w:ind w:left="11" w:right="68" w:hanging="11"/>
              <w:jc w:val="center"/>
              <w:rPr>
                <w:rFonts w:eastAsia="Verdana" w:cs="Verdana"/>
                <w:sz w:val="18"/>
              </w:rPr>
            </w:pPr>
            <w:r w:rsidRPr="007C6717">
              <w:rPr>
                <w:sz w:val="18"/>
              </w:rPr>
              <w:br w:type="page"/>
            </w:r>
            <w:r w:rsidRPr="007C6717">
              <w:rPr>
                <w:rFonts w:eastAsia="Verdana" w:cs="Verdana"/>
                <w:sz w:val="18"/>
              </w:rPr>
              <w:t>Wady Nieistotne</w:t>
            </w:r>
          </w:p>
          <w:p w14:paraId="03D34C37" w14:textId="10D098F4" w:rsidR="00363999" w:rsidRPr="007C6717" w:rsidRDefault="00B71804" w:rsidP="00BD40BF">
            <w:pPr>
              <w:spacing w:before="80" w:after="0"/>
              <w:ind w:left="11" w:right="68" w:hanging="11"/>
              <w:jc w:val="center"/>
              <w:rPr>
                <w:rFonts w:eastAsia="Verdana" w:cs="Verdana"/>
                <w:sz w:val="18"/>
              </w:rPr>
            </w:pPr>
            <w:r w:rsidRPr="007C6717">
              <w:rPr>
                <w:rFonts w:eastAsia="Verdana" w:cs="Verdana"/>
                <w:sz w:val="18"/>
              </w:rPr>
              <w:t xml:space="preserve">(tj. wady, które nie wpływają na prowadzenie działalności przez Zamawiającego) </w:t>
            </w:r>
          </w:p>
        </w:tc>
        <w:tc>
          <w:tcPr>
            <w:tcW w:w="3119" w:type="dxa"/>
            <w:vAlign w:val="center"/>
          </w:tcPr>
          <w:p w14:paraId="03D34C38"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1) Potwierdzenie przyjęcia powiadomienia o wystąpieniu Wady i określenie sposobu usunięcia Wady</w:t>
            </w:r>
          </w:p>
        </w:tc>
        <w:tc>
          <w:tcPr>
            <w:tcW w:w="3382" w:type="dxa"/>
            <w:vAlign w:val="center"/>
          </w:tcPr>
          <w:p w14:paraId="03D34C39"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Do 72 h od chwili powiadomienia</w:t>
            </w:r>
            <w:r w:rsidRPr="007C6717">
              <w:rPr>
                <w:sz w:val="18"/>
              </w:rPr>
              <w:t xml:space="preserve"> </w:t>
            </w:r>
            <w:r w:rsidRPr="007C6717">
              <w:rPr>
                <w:rFonts w:eastAsia="Verdana" w:cs="Verdana"/>
                <w:sz w:val="18"/>
              </w:rPr>
              <w:t>o wystąpieniu Wady</w:t>
            </w:r>
          </w:p>
        </w:tc>
      </w:tr>
      <w:tr w:rsidR="00363999" w:rsidRPr="007C6717" w14:paraId="03D34C3E" w14:textId="77777777" w:rsidTr="00BD40BF">
        <w:trPr>
          <w:cantSplit/>
          <w:trHeight w:val="641"/>
        </w:trPr>
        <w:tc>
          <w:tcPr>
            <w:tcW w:w="2835" w:type="dxa"/>
            <w:vMerge/>
            <w:vAlign w:val="center"/>
          </w:tcPr>
          <w:p w14:paraId="03D34C3B" w14:textId="77777777" w:rsidR="00363999" w:rsidRPr="007C6717" w:rsidRDefault="00363999" w:rsidP="00BD40BF">
            <w:pPr>
              <w:spacing w:before="80" w:after="0"/>
              <w:ind w:left="11" w:right="68" w:hanging="11"/>
              <w:jc w:val="center"/>
              <w:rPr>
                <w:rFonts w:eastAsia="Verdana" w:cs="Verdana"/>
                <w:sz w:val="18"/>
              </w:rPr>
            </w:pPr>
          </w:p>
        </w:tc>
        <w:tc>
          <w:tcPr>
            <w:tcW w:w="3119" w:type="dxa"/>
            <w:vAlign w:val="center"/>
          </w:tcPr>
          <w:p w14:paraId="03D34C3C"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2) Całkowite usunięcie Wady</w:t>
            </w:r>
          </w:p>
        </w:tc>
        <w:tc>
          <w:tcPr>
            <w:tcW w:w="3382" w:type="dxa"/>
            <w:vAlign w:val="center"/>
          </w:tcPr>
          <w:p w14:paraId="03D34C3D" w14:textId="1344F47F"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Zgodnie ze wskazanym przez Zamawiającego w powiadomieniu o wystąpieniu Wady terminem na usunięcie Wady</w:t>
            </w:r>
            <w:r w:rsidR="000D121E" w:rsidRPr="007C6717">
              <w:rPr>
                <w:rFonts w:eastAsia="Verdana" w:cs="Verdana"/>
                <w:sz w:val="18"/>
              </w:rPr>
              <w:t xml:space="preserve"> (który nie będzie krótszy niż 3 dni)</w:t>
            </w:r>
          </w:p>
        </w:tc>
      </w:tr>
      <w:tr w:rsidR="00363999" w:rsidRPr="007C6717" w14:paraId="03D34C43" w14:textId="77777777" w:rsidTr="00BD40BF">
        <w:trPr>
          <w:cantSplit/>
          <w:trHeight w:val="1116"/>
        </w:trPr>
        <w:tc>
          <w:tcPr>
            <w:tcW w:w="2835" w:type="dxa"/>
            <w:vAlign w:val="center"/>
          </w:tcPr>
          <w:p w14:paraId="03D34C3F"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 xml:space="preserve">Wady w Dokumentach Wykonawcy </w:t>
            </w:r>
          </w:p>
          <w:p w14:paraId="03D34C40" w14:textId="72822E02"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zgodnie z definicją zawartą w Subklauzuli 1.1.</w:t>
            </w:r>
            <w:r w:rsidR="0056397A" w:rsidRPr="007C6717">
              <w:rPr>
                <w:rFonts w:eastAsia="Verdana" w:cs="Verdana"/>
                <w:sz w:val="18"/>
              </w:rPr>
              <w:t>101 Warunków Kontraktu</w:t>
            </w:r>
          </w:p>
        </w:tc>
        <w:tc>
          <w:tcPr>
            <w:tcW w:w="3119" w:type="dxa"/>
            <w:vAlign w:val="center"/>
          </w:tcPr>
          <w:p w14:paraId="03D34C41" w14:textId="77777777"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Usunięcie Wady</w:t>
            </w:r>
          </w:p>
        </w:tc>
        <w:tc>
          <w:tcPr>
            <w:tcW w:w="3382" w:type="dxa"/>
            <w:vAlign w:val="center"/>
          </w:tcPr>
          <w:p w14:paraId="03D34C42" w14:textId="56BD4670" w:rsidR="00363999" w:rsidRPr="007C6717" w:rsidRDefault="00363999" w:rsidP="00BD40BF">
            <w:pPr>
              <w:spacing w:before="80" w:after="0"/>
              <w:ind w:left="11" w:right="68" w:hanging="11"/>
              <w:jc w:val="center"/>
              <w:rPr>
                <w:rFonts w:eastAsia="Verdana" w:cs="Verdana"/>
                <w:sz w:val="18"/>
              </w:rPr>
            </w:pPr>
            <w:r w:rsidRPr="007C6717">
              <w:rPr>
                <w:rFonts w:eastAsia="Verdana" w:cs="Verdana"/>
                <w:sz w:val="18"/>
              </w:rPr>
              <w:t>Zgodnie ze wskazanym przez Zamawiającego w powiadomieniu o wystąpieniu Wady terminem na usunięcie Wady</w:t>
            </w:r>
            <w:r w:rsidR="000D121E" w:rsidRPr="007C6717">
              <w:rPr>
                <w:rFonts w:eastAsia="Verdana" w:cs="Verdana"/>
                <w:sz w:val="18"/>
              </w:rPr>
              <w:t xml:space="preserve"> (który nie będzie krótszy niż 3 dni) </w:t>
            </w:r>
          </w:p>
        </w:tc>
      </w:tr>
    </w:tbl>
    <w:p w14:paraId="03D34C44" w14:textId="77777777" w:rsidR="00363999" w:rsidRPr="007C6717" w:rsidRDefault="00363999" w:rsidP="00363999">
      <w:pPr>
        <w:pStyle w:val="Akapitzlist"/>
        <w:spacing w:before="80" w:after="0"/>
        <w:ind w:left="567" w:right="62"/>
        <w:contextualSpacing w:val="0"/>
        <w:jc w:val="both"/>
        <w:rPr>
          <w:rFonts w:eastAsia="Verdana" w:cs="Verdana"/>
        </w:rPr>
      </w:pPr>
    </w:p>
    <w:p w14:paraId="03D34C45" w14:textId="77777777" w:rsidR="00363999" w:rsidRPr="007C6717" w:rsidRDefault="00363999" w:rsidP="00661C26">
      <w:pPr>
        <w:pStyle w:val="Akapitzlist"/>
        <w:numPr>
          <w:ilvl w:val="1"/>
          <w:numId w:val="25"/>
        </w:numPr>
        <w:spacing w:before="80" w:after="0"/>
        <w:ind w:left="567" w:right="62" w:hanging="567"/>
        <w:contextualSpacing w:val="0"/>
        <w:jc w:val="both"/>
        <w:rPr>
          <w:rFonts w:eastAsia="Verdana" w:cs="Verdana"/>
        </w:rPr>
      </w:pPr>
      <w:r w:rsidRPr="007C6717">
        <w:rPr>
          <w:rFonts w:eastAsia="Verdana" w:cs="Verdana"/>
        </w:rPr>
        <w:t>Zamawiający, uprawniony jest po przedłożeniu przez Gwaranta pisemnego uzasadnienia, do zmiany terminów wskazanych w punkcie 5.1 niniejszej Części Ogólnej, uwzględniając technologię usuwania Wady, zasady wiedzy technicznej i warunki klimatyczne.</w:t>
      </w:r>
    </w:p>
    <w:p w14:paraId="03D34C46" w14:textId="77777777" w:rsidR="00363999" w:rsidRPr="007C6717" w:rsidRDefault="00363999" w:rsidP="00661C26">
      <w:pPr>
        <w:pStyle w:val="Akapitzlist"/>
        <w:numPr>
          <w:ilvl w:val="1"/>
          <w:numId w:val="25"/>
        </w:numPr>
        <w:spacing w:before="80" w:after="0"/>
        <w:ind w:left="567" w:right="62" w:hanging="567"/>
        <w:contextualSpacing w:val="0"/>
        <w:jc w:val="both"/>
        <w:rPr>
          <w:rFonts w:eastAsia="Verdana" w:cs="Verdana"/>
        </w:rPr>
      </w:pPr>
      <w:r w:rsidRPr="007C6717">
        <w:rPr>
          <w:rFonts w:eastAsia="Verdana" w:cs="Verdana"/>
        </w:rPr>
        <w:t xml:space="preserve">Stwierdzenie usunięcia Wady nastąpi z chwilą niezwłocznego podpisania przez obie Strony Protokołu Odbioru Prac z usuwania Wady. W Protokole Strony potwierdzą także termin usunięcia Wady. W przypadku braku możliwości podpisania protokołu w dniu, w którym dokonano usunięcia Wady, należy </w:t>
      </w:r>
      <w:r w:rsidR="00E233BC" w:rsidRPr="007C6717">
        <w:rPr>
          <w:rFonts w:eastAsia="Verdana" w:cs="Verdana"/>
        </w:rPr>
        <w:t>w p</w:t>
      </w:r>
      <w:r w:rsidR="005C5559" w:rsidRPr="007C6717">
        <w:rPr>
          <w:rFonts w:eastAsia="Verdana" w:cs="Verdana"/>
        </w:rPr>
        <w:t xml:space="preserve">rotokole podpisanym </w:t>
      </w:r>
      <w:r w:rsidR="005E0823" w:rsidRPr="007C6717">
        <w:rPr>
          <w:rFonts w:eastAsia="Verdana" w:cs="Verdana"/>
        </w:rPr>
        <w:t>w </w:t>
      </w:r>
      <w:r w:rsidR="005C5559" w:rsidRPr="007C6717">
        <w:rPr>
          <w:rFonts w:eastAsia="Verdana" w:cs="Verdana"/>
        </w:rPr>
        <w:t>późniejszym terminie podać faktyczną datę usunięcia Wady.</w:t>
      </w:r>
    </w:p>
    <w:p w14:paraId="03D34C47" w14:textId="77777777" w:rsidR="00363999" w:rsidRPr="007C6717" w:rsidRDefault="00363999" w:rsidP="00661C26">
      <w:pPr>
        <w:pStyle w:val="Akapitzlist"/>
        <w:numPr>
          <w:ilvl w:val="1"/>
          <w:numId w:val="25"/>
        </w:numPr>
        <w:spacing w:before="80" w:after="0"/>
        <w:ind w:left="567" w:right="62" w:hanging="567"/>
        <w:contextualSpacing w:val="0"/>
        <w:jc w:val="both"/>
        <w:rPr>
          <w:rFonts w:eastAsia="Verdana" w:cs="Verdana"/>
        </w:rPr>
      </w:pPr>
      <w:r w:rsidRPr="007C6717">
        <w:rPr>
          <w:rFonts w:eastAsia="Verdana" w:cs="Verdana"/>
        </w:rPr>
        <w:t xml:space="preserve">Jeżeli Gwarant nie wypełni obowiązku usunięcia Wady w uzgodnionym terminie, Zamawiający </w:t>
      </w:r>
      <w:r w:rsidR="005C5559" w:rsidRPr="007C6717">
        <w:rPr>
          <w:rFonts w:eastAsia="Verdana" w:cs="Verdana"/>
        </w:rPr>
        <w:t xml:space="preserve">uprawniony </w:t>
      </w:r>
      <w:r w:rsidRPr="007C6717">
        <w:rPr>
          <w:rFonts w:eastAsia="Verdana" w:cs="Verdana"/>
        </w:rPr>
        <w:t xml:space="preserve">będzie do zlecenia usunięcia Wady podmiotowi trzeciemu, </w:t>
      </w:r>
      <w:r w:rsidR="005C5559" w:rsidRPr="007C6717">
        <w:rPr>
          <w:rFonts w:eastAsia="Verdana" w:cs="Verdana"/>
        </w:rPr>
        <w:t>na wyłączny koszt i ryzyko Gwaranta bez potrzeby występowania o zastępczą zgodę Sądu, na co Gwarant wyraża zgodę</w:t>
      </w:r>
      <w:r w:rsidRPr="007C6717">
        <w:rPr>
          <w:rFonts w:eastAsia="Verdana" w:cs="Verdana"/>
        </w:rPr>
        <w:t>.</w:t>
      </w:r>
    </w:p>
    <w:p w14:paraId="03D34C48" w14:textId="77777777" w:rsidR="00363999" w:rsidRPr="007C6717" w:rsidRDefault="00363999" w:rsidP="00661C26">
      <w:pPr>
        <w:pStyle w:val="Akapitzlist"/>
        <w:numPr>
          <w:ilvl w:val="1"/>
          <w:numId w:val="25"/>
        </w:numPr>
        <w:spacing w:before="80" w:after="0"/>
        <w:ind w:left="567" w:right="62" w:hanging="567"/>
        <w:contextualSpacing w:val="0"/>
        <w:jc w:val="both"/>
        <w:rPr>
          <w:rFonts w:eastAsia="Verdana" w:cs="Verdana"/>
        </w:rPr>
      </w:pPr>
      <w:r w:rsidRPr="007C6717">
        <w:rPr>
          <w:rFonts w:eastAsia="Verdana" w:cs="Verdana"/>
        </w:rPr>
        <w:t>Gwarant jest odpowiedzialny za wszelkie szkody i straty, które spowodował w czasie prac nad usuwaniem Wad.</w:t>
      </w:r>
    </w:p>
    <w:p w14:paraId="03D34C49" w14:textId="77777777" w:rsidR="00363999" w:rsidRPr="007C6717" w:rsidRDefault="00363999" w:rsidP="00363999">
      <w:pPr>
        <w:spacing w:before="80" w:after="0"/>
        <w:ind w:right="62"/>
        <w:jc w:val="both"/>
        <w:rPr>
          <w:rFonts w:eastAsia="Verdana" w:cs="Verdana"/>
        </w:rPr>
      </w:pPr>
    </w:p>
    <w:p w14:paraId="03D34C4A" w14:textId="77777777" w:rsidR="00363999" w:rsidRPr="007C6717" w:rsidRDefault="00363999" w:rsidP="00661C26">
      <w:pPr>
        <w:pStyle w:val="Nagwek2"/>
        <w:numPr>
          <w:ilvl w:val="0"/>
          <w:numId w:val="19"/>
        </w:numPr>
        <w:spacing w:before="80" w:after="0"/>
        <w:ind w:left="567" w:hanging="567"/>
        <w:rPr>
          <w:rFonts w:eastAsia="Verdana"/>
          <w:szCs w:val="20"/>
        </w:rPr>
      </w:pPr>
      <w:bookmarkStart w:id="14" w:name="_Toc455047571"/>
      <w:bookmarkStart w:id="15" w:name="_Toc178671930"/>
      <w:r w:rsidRPr="007C6717">
        <w:rPr>
          <w:rFonts w:eastAsia="Verdana"/>
          <w:szCs w:val="20"/>
        </w:rPr>
        <w:t>Komunikacja</w:t>
      </w:r>
      <w:bookmarkEnd w:id="14"/>
      <w:bookmarkEnd w:id="15"/>
      <w:r w:rsidRPr="007C6717">
        <w:rPr>
          <w:rFonts w:eastAsia="Verdana"/>
          <w:szCs w:val="20"/>
        </w:rPr>
        <w:t xml:space="preserve"> </w:t>
      </w:r>
    </w:p>
    <w:p w14:paraId="03D34C4B" w14:textId="22989F22" w:rsidR="00363999" w:rsidRPr="007C6717" w:rsidRDefault="00363999" w:rsidP="007C6717">
      <w:pPr>
        <w:pStyle w:val="Akapitzlist"/>
        <w:numPr>
          <w:ilvl w:val="1"/>
          <w:numId w:val="19"/>
        </w:numPr>
        <w:spacing w:before="80" w:after="0"/>
        <w:ind w:right="63"/>
        <w:jc w:val="both"/>
        <w:rPr>
          <w:rFonts w:eastAsia="Verdana" w:cs="Verdana"/>
        </w:rPr>
      </w:pPr>
      <w:r w:rsidRPr="007C6717">
        <w:rPr>
          <w:rFonts w:eastAsia="Verdana" w:cs="Verdana"/>
        </w:rPr>
        <w:t>Powiadomienia o wystąpieniu Wady dokonuje Zamawiający poprzez przekazanie odpowiedniej informacji osobie wskazanej przez Gwaranta.</w:t>
      </w:r>
      <w:r w:rsidR="00A8172F" w:rsidRPr="007C6717">
        <w:rPr>
          <w:rFonts w:eastAsia="Verdana" w:cs="Verdana"/>
        </w:rPr>
        <w:t xml:space="preserve"> Wykonawca będzie świadczył dyżur telefoniczny pod nr telefonu  [_______________] / e-mail [_______________]od poniedziałku do piątku</w:t>
      </w:r>
      <w:r w:rsidR="008341DC" w:rsidRPr="007C6717">
        <w:rPr>
          <w:rFonts w:eastAsia="Verdana" w:cs="Verdana"/>
        </w:rPr>
        <w:t xml:space="preserve"> od </w:t>
      </w:r>
      <w:r w:rsidR="00DB5699">
        <w:rPr>
          <w:rFonts w:eastAsia="Verdana" w:cs="Verdana"/>
        </w:rPr>
        <w:t xml:space="preserve">godziny </w:t>
      </w:r>
      <w:r w:rsidR="008341DC" w:rsidRPr="007C6717">
        <w:rPr>
          <w:rFonts w:eastAsia="Verdana" w:cs="Verdana"/>
        </w:rPr>
        <w:t xml:space="preserve">6 do 18. </w:t>
      </w:r>
      <w:r w:rsidR="00A8172F" w:rsidRPr="007C6717">
        <w:rPr>
          <w:rFonts w:eastAsia="Verdana" w:cs="Verdana"/>
        </w:rPr>
        <w:t>Wszelka korespondencja będzie kierowana do Gwaranta na adres: …………..</w:t>
      </w:r>
      <w:r w:rsidR="00A8172F" w:rsidRPr="007C6717">
        <w:rPr>
          <w:rFonts w:eastAsia="Verdana" w:cs="Verdana"/>
        </w:rPr>
        <w:tab/>
        <w:t xml:space="preserve">Wszelka korespondencja będzie kierowana do Zamawiającego na adres: ……………..O zmianach danych teleadresowych Strony zobowiązane są informować się niezwłocznie, nie </w:t>
      </w:r>
      <w:r w:rsidR="00A8172F" w:rsidRPr="007C6717">
        <w:rPr>
          <w:rFonts w:eastAsia="Verdana" w:cs="Verdana"/>
        </w:rPr>
        <w:lastRenderedPageBreak/>
        <w:t>później niż 7 dni od chwili zaistnienia zmian, pod rygorem uznania wysyłania  korespondencji pod ostatnio znany adres za skutecznie doręczoną.</w:t>
      </w:r>
    </w:p>
    <w:p w14:paraId="03D34C4C"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W powiadomieniu o wystąpieniu Wady, Zamawiający kwalifikuje kategorię Wady według kategorii ustalonych w Tabeli nr 1 zawartej w punkcie 5.1 niniejszej Części Ogólnej.</w:t>
      </w:r>
    </w:p>
    <w:p w14:paraId="03D34C4D" w14:textId="77777777" w:rsidR="00363999" w:rsidRPr="007C6717" w:rsidRDefault="00363999" w:rsidP="00661C26">
      <w:pPr>
        <w:pStyle w:val="Akapitzlist"/>
        <w:numPr>
          <w:ilvl w:val="1"/>
          <w:numId w:val="19"/>
        </w:numPr>
        <w:spacing w:before="80" w:after="0"/>
        <w:ind w:left="567" w:hanging="567"/>
        <w:contextualSpacing w:val="0"/>
        <w:jc w:val="both"/>
        <w:rPr>
          <w:rFonts w:eastAsia="Verdana" w:cs="Verdana"/>
        </w:rPr>
      </w:pPr>
      <w:r w:rsidRPr="007C6717">
        <w:rPr>
          <w:rFonts w:eastAsia="Verdana" w:cs="Verdana"/>
        </w:rPr>
        <w:t>Wszelka komunikacja pomiędzy Stronami potwierdzona zostanie w formie pisemnej.</w:t>
      </w:r>
    </w:p>
    <w:p w14:paraId="03D34C4E"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O wystąpieniu Wady stwierdzonej „ad hoc” lub podczas Komisyjnego Przeglądu Gwarancyjnego odbywającego się bez udziału przedstawicieli Gwaranta w komisji, osoba wyznaczona przez Zamawiającego powiadamia telefonicznie osobę wskazaną przez Gwaranta, a następnie potwierdza powiadomienie o wystąpieniu wady faksem </w:t>
      </w:r>
      <w:r w:rsidR="005C5559" w:rsidRPr="007C6717">
        <w:rPr>
          <w:rFonts w:eastAsia="Verdana" w:cs="Verdana"/>
        </w:rPr>
        <w:t xml:space="preserve">lub </w:t>
      </w:r>
      <w:r w:rsidRPr="007C6717">
        <w:rPr>
          <w:rFonts w:eastAsia="Verdana" w:cs="Verdana"/>
        </w:rPr>
        <w:t>pocztą elektroniczną na wskazane numery telefonów, numery faks i adresy</w:t>
      </w:r>
      <w:r w:rsidR="005C5559" w:rsidRPr="007C6717">
        <w:rPr>
          <w:rFonts w:eastAsia="Verdana" w:cs="Verdana"/>
        </w:rPr>
        <w:t xml:space="preserve"> email</w:t>
      </w:r>
      <w:r w:rsidRPr="007C6717">
        <w:rPr>
          <w:rFonts w:eastAsia="Verdana" w:cs="Verdana"/>
        </w:rPr>
        <w:t>. Potwierdzenie powiadomienia należy zachować dla celów dowodowych.</w:t>
      </w:r>
    </w:p>
    <w:p w14:paraId="03D34C4F"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W przypadku złożenia powiadomienia o wy</w:t>
      </w:r>
      <w:r w:rsidR="005E0823" w:rsidRPr="007C6717">
        <w:rPr>
          <w:rFonts w:eastAsia="Verdana" w:cs="Verdana"/>
        </w:rPr>
        <w:t>stąpieniu Wady, o którym mowa w </w:t>
      </w:r>
      <w:r w:rsidR="005C5559" w:rsidRPr="007C6717">
        <w:rPr>
          <w:rFonts w:eastAsia="Verdana" w:cs="Verdana"/>
        </w:rPr>
        <w:t xml:space="preserve">punkcie </w:t>
      </w:r>
      <w:r w:rsidRPr="007C6717">
        <w:rPr>
          <w:rFonts w:eastAsia="Verdana" w:cs="Verdana"/>
        </w:rPr>
        <w:t xml:space="preserve">6.4, Gwarant zobowiązany jest do potwierdzenia otrzymania tego powiadomienia. Kopia potwierdzenia otrzymania powiadomienia o wystąpieniu Wady przesyłana jest przez Gwaranta również faksem </w:t>
      </w:r>
      <w:r w:rsidR="005C5559" w:rsidRPr="007C6717">
        <w:rPr>
          <w:rFonts w:eastAsia="Verdana" w:cs="Verdana"/>
        </w:rPr>
        <w:t>lub</w:t>
      </w:r>
      <w:r w:rsidRPr="007C6717">
        <w:rPr>
          <w:rFonts w:eastAsia="Verdana" w:cs="Verdana"/>
        </w:rPr>
        <w:t xml:space="preserve"> pocztą elektroniczną do Zamawiającego.</w:t>
      </w:r>
    </w:p>
    <w:p w14:paraId="03D34C50"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W przypadku Wad stwierdzonych podczas Komisyjnego Przeglądu Gwarancyjnego odbywającego się z udziałem przedstawicieli Gwaranta, przedstawiciel Zamawiającego przekazuje osobiście i ustnie powiadomienie o wystąpieniu Wady. Protokół Komisyjnego Przeglądu Gwarancyjnego ma moc potwierdzenia powiadomienia o wystąpieniu Wady oraz moc potwierdzenia przez Gwaranta otrzymania powiadomienia o wystąpieniu Wady, bez konieczności dokonania przez Zamawiającego dodatkowego powiadomienia o wystąpieniu Wady oraz bez konieczności dokonania przez Gwaranta dodatkowego potwierdzenia otrzymania powiadomienia o wystąpieniu Wady.</w:t>
      </w:r>
    </w:p>
    <w:p w14:paraId="03D34C51"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Zarówno Zamawiający jak i Gwarant sporządzą wykaz osób upoważnionych do kontaktów, przekazywania, przyjmowania powiadomień o ujawnieniu się Wad i potwierdzania otrzymania powiadomienia o ujawnieniu Wady. Wykazy osób zostaną przekazane przez Strony w terminie 7 dni od daty przekazania dokumentu Gwarancji Jakości Zamawiającemu. O każdej zmianie takich osób, Strony obowiązane są informować się niezwłocznie, pod rygorem uznania ostatnio wskazanej osoby jako upoważnionej w myśl niniejszego postanowienia.</w:t>
      </w:r>
    </w:p>
    <w:p w14:paraId="03D34C52"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Wszelkie pisma, kierowane będą przez Strony na adresy podane w niniejszym dokumencie Gwarancji Jakości.</w:t>
      </w:r>
    </w:p>
    <w:p w14:paraId="03D34C53" w14:textId="51DEE1F5"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O zmianach w danych adresowych, o których mowa w punkcie 6.8 </w:t>
      </w:r>
      <w:r w:rsidR="00FE44ED" w:rsidRPr="007C6717">
        <w:rPr>
          <w:rFonts w:eastAsia="Verdana" w:cs="Verdana"/>
        </w:rPr>
        <w:t>powyżej</w:t>
      </w:r>
      <w:r w:rsidRPr="007C6717">
        <w:rPr>
          <w:rFonts w:eastAsia="Verdana" w:cs="Verdana"/>
        </w:rPr>
        <w:t>, Strony obowiązane są informować się niezwłocznie, nie później niż 7 dni od chwili zaistnienia zmian, pod rygorem uznania wysłania korespondencji pod ostatnio znany adres za skutecznie doręczoną.</w:t>
      </w:r>
    </w:p>
    <w:p w14:paraId="03D34C54"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Gwarant jest obowiązany w terminie 7 dni od daty złożenia wniosku o ogłoszenie upadłości powiadomić pisemnie o tym fakcie Zamawiającego.</w:t>
      </w:r>
    </w:p>
    <w:p w14:paraId="03D34C55" w14:textId="77777777" w:rsidR="00363999" w:rsidRPr="007C6717" w:rsidRDefault="00363999" w:rsidP="00363999">
      <w:pPr>
        <w:pStyle w:val="Akapitzlist"/>
        <w:spacing w:before="80" w:after="0"/>
        <w:ind w:left="567" w:right="63"/>
        <w:contextualSpacing w:val="0"/>
        <w:jc w:val="both"/>
        <w:rPr>
          <w:rFonts w:eastAsia="Verdana" w:cs="Verdana"/>
        </w:rPr>
      </w:pPr>
    </w:p>
    <w:p w14:paraId="03D34C56" w14:textId="77777777" w:rsidR="00363999" w:rsidRPr="007C6717" w:rsidRDefault="00363999" w:rsidP="00661C26">
      <w:pPr>
        <w:pStyle w:val="Nagwek2"/>
        <w:numPr>
          <w:ilvl w:val="0"/>
          <w:numId w:val="19"/>
        </w:numPr>
        <w:spacing w:before="80" w:after="0"/>
        <w:ind w:left="567" w:hanging="567"/>
        <w:rPr>
          <w:rFonts w:eastAsia="Verdana"/>
          <w:szCs w:val="20"/>
        </w:rPr>
      </w:pPr>
      <w:bookmarkStart w:id="16" w:name="_Toc178671931"/>
      <w:r w:rsidRPr="007C6717">
        <w:rPr>
          <w:rFonts w:eastAsia="Verdana"/>
          <w:szCs w:val="20"/>
        </w:rPr>
        <w:t>Kary</w:t>
      </w:r>
      <w:bookmarkEnd w:id="16"/>
    </w:p>
    <w:p w14:paraId="03D34C57" w14:textId="54154AAC"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niepotwierdzenia w terminie przyjęcia powiadomienia o wystąpieniu Wady od Zamawiającego przez Gwaranta, Zamawiający będzie uprawniony do </w:t>
      </w:r>
      <w:r w:rsidRPr="007C6717">
        <w:rPr>
          <w:rFonts w:eastAsia="Verdana" w:cs="Verdana"/>
        </w:rPr>
        <w:lastRenderedPageBreak/>
        <w:t xml:space="preserve">naliczenia Gwarantowi </w:t>
      </w:r>
      <w:r w:rsidR="0056397A" w:rsidRPr="007C6717">
        <w:rPr>
          <w:rFonts w:eastAsia="Verdana" w:cs="Verdana"/>
        </w:rPr>
        <w:t xml:space="preserve">Kary </w:t>
      </w:r>
      <w:r w:rsidRPr="007C6717">
        <w:rPr>
          <w:rFonts w:eastAsia="Verdana" w:cs="Verdana"/>
        </w:rPr>
        <w:t xml:space="preserve">umownej w wysokości 0,01 % Zaakceptowanej Kwoty Kontraktowej </w:t>
      </w:r>
      <w:r w:rsidR="0056397A" w:rsidRPr="007C6717">
        <w:rPr>
          <w:rFonts w:eastAsia="Verdana" w:cs="Verdana"/>
        </w:rPr>
        <w:t>netto</w:t>
      </w:r>
      <w:r w:rsidRPr="007C6717">
        <w:rPr>
          <w:rFonts w:eastAsia="Verdana" w:cs="Verdana"/>
        </w:rPr>
        <w:t xml:space="preserve">, jednak nie mniej niż </w:t>
      </w:r>
      <w:r w:rsidR="00FE44ED" w:rsidRPr="007C6717">
        <w:rPr>
          <w:rFonts w:eastAsia="Verdana" w:cs="Verdana"/>
        </w:rPr>
        <w:t>1</w:t>
      </w:r>
      <w:r w:rsidRPr="007C6717">
        <w:rPr>
          <w:rFonts w:eastAsia="Verdana" w:cs="Verdana"/>
        </w:rPr>
        <w:t xml:space="preserve"> 000 zł za każdy dzień zwłoki.</w:t>
      </w:r>
    </w:p>
    <w:p w14:paraId="03D34C58" w14:textId="250129EC"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niewskazania w terminie przez Gwaranta sposobu/sposobów usunięcia Wady, Zamawiający będzie uprawniony do naliczenia Gwarantowi </w:t>
      </w:r>
      <w:r w:rsidR="0056397A" w:rsidRPr="007C6717">
        <w:rPr>
          <w:rFonts w:eastAsia="Verdana" w:cs="Verdana"/>
        </w:rPr>
        <w:t xml:space="preserve">Kary </w:t>
      </w:r>
      <w:r w:rsidRPr="007C6717">
        <w:rPr>
          <w:rFonts w:eastAsia="Verdana" w:cs="Verdana"/>
        </w:rPr>
        <w:t xml:space="preserve">umownej w wysokości 0,01 % Zaakceptowanej Kwoty Kontraktowej </w:t>
      </w:r>
      <w:r w:rsidR="0056397A" w:rsidRPr="007C6717">
        <w:rPr>
          <w:rFonts w:eastAsia="Verdana" w:cs="Verdana"/>
        </w:rPr>
        <w:t>netto</w:t>
      </w:r>
      <w:r w:rsidRPr="007C6717">
        <w:rPr>
          <w:rFonts w:eastAsia="Verdana" w:cs="Verdana"/>
        </w:rPr>
        <w:t xml:space="preserve">, jednak nie mniej niż </w:t>
      </w:r>
      <w:r w:rsidR="00FE44ED" w:rsidRPr="007C6717">
        <w:rPr>
          <w:rFonts w:eastAsia="Verdana" w:cs="Verdana"/>
        </w:rPr>
        <w:t>1</w:t>
      </w:r>
      <w:r w:rsidRPr="007C6717">
        <w:rPr>
          <w:rFonts w:eastAsia="Verdana" w:cs="Verdana"/>
        </w:rPr>
        <w:t xml:space="preserve"> 000 zł za każdy dzień zwłoki.</w:t>
      </w:r>
    </w:p>
    <w:p w14:paraId="03D34C59" w14:textId="24A5663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nieusunięcia w terminie Wady lub wymiany rzeczy na wolną od Wad przez Gwaranta albo w przypadku gdy Wada zostanie usunięta przez Gwaranta w sposób nieprawidłowy, niezgodnie ze sztuką budowlaną lub niezgodnie ze sposobem usunięcia jaki był wymagany przez Zamawiającego, Zamawiający będzie uprawniony do naliczenia Gwarantowi </w:t>
      </w:r>
      <w:r w:rsidR="0056397A" w:rsidRPr="007C6717">
        <w:rPr>
          <w:rFonts w:eastAsia="Verdana" w:cs="Verdana"/>
        </w:rPr>
        <w:t xml:space="preserve">Kary </w:t>
      </w:r>
      <w:r w:rsidRPr="007C6717">
        <w:rPr>
          <w:rFonts w:eastAsia="Verdana" w:cs="Verdana"/>
        </w:rPr>
        <w:t xml:space="preserve">umownej w wysokości 0,01 % Zaakceptowanej Kwoty Kontraktowej </w:t>
      </w:r>
      <w:r w:rsidR="00CA7B04" w:rsidRPr="007C6717">
        <w:rPr>
          <w:rFonts w:eastAsia="Verdana" w:cs="Verdana"/>
        </w:rPr>
        <w:t>netto</w:t>
      </w:r>
      <w:r w:rsidRPr="007C6717">
        <w:rPr>
          <w:rFonts w:eastAsia="Verdana" w:cs="Verdana"/>
        </w:rPr>
        <w:t xml:space="preserve">, jednak nie mniej niż </w:t>
      </w:r>
      <w:r w:rsidR="00FE44ED" w:rsidRPr="007C6717">
        <w:rPr>
          <w:rFonts w:eastAsia="Verdana" w:cs="Verdana"/>
        </w:rPr>
        <w:t>1</w:t>
      </w:r>
      <w:r w:rsidRPr="007C6717">
        <w:rPr>
          <w:rFonts w:eastAsia="Verdana" w:cs="Verdana"/>
        </w:rPr>
        <w:t xml:space="preserve"> 000 zł, za każdy dzień zwłoki, z wyłączeniem sytuacji gdy kara za niedotrzymanie któregokolwiek z terminów usunięcia Wad, usterek lub wykonania zaległych prac ujawnionych w Okresie Przeglądów i Rozliczenia Kontraktu, została naliczona zgodnie z Subklauzulą 8.</w:t>
      </w:r>
      <w:r w:rsidR="00CA7B04" w:rsidRPr="007C6717">
        <w:rPr>
          <w:rFonts w:eastAsia="Verdana" w:cs="Verdana"/>
        </w:rPr>
        <w:t xml:space="preserve">8 </w:t>
      </w:r>
      <w:r w:rsidRPr="007C6717">
        <w:rPr>
          <w:rFonts w:eastAsia="Verdana" w:cs="Verdana"/>
        </w:rPr>
        <w:t>Warunków Kontraktu.</w:t>
      </w:r>
    </w:p>
    <w:p w14:paraId="03D34C5A" w14:textId="6105232D"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 xml:space="preserve">W przypadku niestawiennictwa Gwaranta w miejscu dokonania Komisyjnego Przeglądu Gwarancyjnego, Zamawiający będzie uprawniony do naliczenia Gwarantowi </w:t>
      </w:r>
      <w:r w:rsidR="00CA7B04" w:rsidRPr="007C6717">
        <w:rPr>
          <w:rFonts w:eastAsia="Verdana" w:cs="Verdana"/>
        </w:rPr>
        <w:t xml:space="preserve">Kary </w:t>
      </w:r>
      <w:r w:rsidRPr="007C6717">
        <w:rPr>
          <w:rFonts w:eastAsia="Verdana" w:cs="Verdana"/>
        </w:rPr>
        <w:t xml:space="preserve">umownej w wysokości 0,01 % Zaakceptowanej Kwoty Kontraktowej </w:t>
      </w:r>
      <w:r w:rsidR="00CA7B04" w:rsidRPr="007C6717">
        <w:rPr>
          <w:rFonts w:eastAsia="Verdana" w:cs="Verdana"/>
        </w:rPr>
        <w:t>netto</w:t>
      </w:r>
      <w:r w:rsidRPr="007C6717">
        <w:rPr>
          <w:rFonts w:eastAsia="Verdana" w:cs="Verdana"/>
        </w:rPr>
        <w:t xml:space="preserve">, jednak nie mniej niż </w:t>
      </w:r>
      <w:r w:rsidR="00FE44ED" w:rsidRPr="007C6717">
        <w:rPr>
          <w:rFonts w:eastAsia="Verdana" w:cs="Verdana"/>
        </w:rPr>
        <w:t>1</w:t>
      </w:r>
      <w:r w:rsidRPr="007C6717">
        <w:rPr>
          <w:rFonts w:eastAsia="Verdana" w:cs="Verdana"/>
        </w:rPr>
        <w:t xml:space="preserve"> 000 zł, za każde zdarzenie.</w:t>
      </w:r>
    </w:p>
    <w:p w14:paraId="2D0868F0" w14:textId="62159DE7" w:rsidR="00BB2E41" w:rsidRDefault="00BB2E41" w:rsidP="00661C26">
      <w:pPr>
        <w:pStyle w:val="Akapitzlist"/>
        <w:numPr>
          <w:ilvl w:val="1"/>
          <w:numId w:val="19"/>
        </w:numPr>
        <w:spacing w:before="80" w:after="0" w:line="240" w:lineRule="auto"/>
        <w:ind w:left="567" w:right="63" w:hanging="567"/>
        <w:contextualSpacing w:val="0"/>
        <w:jc w:val="both"/>
        <w:rPr>
          <w:rFonts w:eastAsia="Verdana" w:cs="Verdana"/>
        </w:rPr>
      </w:pPr>
      <w:r>
        <w:rPr>
          <w:rFonts w:eastAsia="Verdana" w:cs="Verdana"/>
        </w:rPr>
        <w:t xml:space="preserve">W przypadku braku działań w celu uzupełnienia, bądź poprawienia wniosku o </w:t>
      </w:r>
      <w:r w:rsidRPr="00BB2E41">
        <w:rPr>
          <w:rFonts w:eastAsia="Verdana" w:cs="Verdana"/>
        </w:rPr>
        <w:t>wydanie decyzji o pozwoleniu na użytkowanie</w:t>
      </w:r>
      <w:r>
        <w:rPr>
          <w:rFonts w:eastAsia="Verdana" w:cs="Verdana"/>
        </w:rPr>
        <w:t xml:space="preserve"> tj. w terminie 7 dni od doręczenia stosownego wezwania, </w:t>
      </w:r>
      <w:r w:rsidRPr="00BB2E41">
        <w:rPr>
          <w:rFonts w:eastAsia="Verdana" w:cs="Verdana"/>
        </w:rPr>
        <w:t xml:space="preserve"> Zamawiający będzie uprawniony do naliczenia Gwarantowi Kary umownej w wysokości 0,01 % Zaakceptowanej Kwoty Kontraktowej netto, jednak nie mniej niż 1 000 zł</w:t>
      </w:r>
      <w:r>
        <w:rPr>
          <w:rFonts w:eastAsia="Verdana" w:cs="Verdana"/>
        </w:rPr>
        <w:t xml:space="preserve"> za każdy dzień zwłoki. </w:t>
      </w:r>
    </w:p>
    <w:p w14:paraId="03D34C5C" w14:textId="5AEC0F00" w:rsidR="008A697D" w:rsidRDefault="008A697D" w:rsidP="00661C26">
      <w:pPr>
        <w:pStyle w:val="Akapitzlist"/>
        <w:numPr>
          <w:ilvl w:val="1"/>
          <w:numId w:val="19"/>
        </w:numPr>
        <w:spacing w:before="80" w:after="0" w:line="240" w:lineRule="auto"/>
        <w:ind w:left="567" w:right="63" w:hanging="567"/>
        <w:contextualSpacing w:val="0"/>
        <w:jc w:val="both"/>
        <w:rPr>
          <w:rFonts w:eastAsia="Verdana" w:cs="Verdana"/>
        </w:rPr>
      </w:pPr>
      <w:r w:rsidRPr="007C6717">
        <w:rPr>
          <w:rFonts w:eastAsia="Verdana" w:cs="Verdana"/>
        </w:rPr>
        <w:t>Limit kar umownych, o którym mowa w Subklauzuli 8.</w:t>
      </w:r>
      <w:r w:rsidR="00CA7B04" w:rsidRPr="007C6717">
        <w:rPr>
          <w:rFonts w:eastAsia="Verdana" w:cs="Verdana"/>
        </w:rPr>
        <w:t xml:space="preserve">8 </w:t>
      </w:r>
      <w:r w:rsidRPr="007C6717">
        <w:rPr>
          <w:rFonts w:eastAsia="Verdana" w:cs="Verdana"/>
        </w:rPr>
        <w:t xml:space="preserve">Szczególnych Warunków Kontraktu dotyczy także </w:t>
      </w:r>
      <w:r w:rsidR="00CA7B04" w:rsidRPr="007C6717">
        <w:rPr>
          <w:rFonts w:eastAsia="Verdana" w:cs="Verdana"/>
        </w:rPr>
        <w:t xml:space="preserve">Kar </w:t>
      </w:r>
      <w:r w:rsidRPr="007C6717">
        <w:rPr>
          <w:rFonts w:eastAsia="Verdana" w:cs="Verdana"/>
        </w:rPr>
        <w:t>umownych nal</w:t>
      </w:r>
      <w:r w:rsidR="005E0823" w:rsidRPr="007C6717">
        <w:rPr>
          <w:rFonts w:eastAsia="Verdana" w:cs="Verdana"/>
        </w:rPr>
        <w:t>iczanych na Wykonawcę zgodnie z </w:t>
      </w:r>
      <w:r w:rsidRPr="007C6717">
        <w:rPr>
          <w:rFonts w:eastAsia="Verdana" w:cs="Verdana"/>
        </w:rPr>
        <w:t>niniejszym dokumentem Gwarancji Jakości.</w:t>
      </w:r>
    </w:p>
    <w:p w14:paraId="0F86CF77" w14:textId="77777777" w:rsidR="00DB5699" w:rsidRPr="007C6717" w:rsidRDefault="00DB5699" w:rsidP="00BB2E41">
      <w:pPr>
        <w:pStyle w:val="Akapitzlist"/>
        <w:spacing w:before="80" w:after="0" w:line="240" w:lineRule="auto"/>
        <w:ind w:left="567" w:right="63"/>
        <w:contextualSpacing w:val="0"/>
        <w:jc w:val="both"/>
        <w:rPr>
          <w:rFonts w:eastAsia="Verdana" w:cs="Verdana"/>
        </w:rPr>
      </w:pPr>
    </w:p>
    <w:p w14:paraId="03EBDFD3" w14:textId="1343A683" w:rsidR="00551AB2" w:rsidRPr="007C6717" w:rsidRDefault="00363999" w:rsidP="00551AB2">
      <w:pPr>
        <w:pStyle w:val="Akapitzlist"/>
        <w:numPr>
          <w:ilvl w:val="1"/>
          <w:numId w:val="19"/>
        </w:numPr>
        <w:spacing w:after="0" w:line="240" w:lineRule="auto"/>
        <w:ind w:left="567" w:right="63" w:hanging="567"/>
        <w:contextualSpacing w:val="0"/>
        <w:jc w:val="both"/>
        <w:rPr>
          <w:rFonts w:eastAsia="Verdana"/>
          <w:b/>
          <w:bCs/>
          <w:iCs/>
        </w:rPr>
      </w:pPr>
      <w:r w:rsidRPr="007C6717">
        <w:rPr>
          <w:rFonts w:eastAsia="Verdana" w:cs="Verdana"/>
        </w:rPr>
        <w:t>Niezależnie od naliczenia kar umownych, o którym mowa w pkt 7.1-7.</w:t>
      </w:r>
      <w:r w:rsidR="00FE44ED" w:rsidRPr="007C6717">
        <w:rPr>
          <w:rFonts w:eastAsia="Verdana" w:cs="Verdana"/>
        </w:rPr>
        <w:t>4</w:t>
      </w:r>
      <w:r w:rsidRPr="007C6717">
        <w:rPr>
          <w:rFonts w:eastAsia="Verdana" w:cs="Verdana"/>
        </w:rPr>
        <w:t xml:space="preserve"> Zamawiający zastrzega możliwość dochodzenia od Gwaranta odszkodowania uzupełniającego, przewyższającego wysokość </w:t>
      </w:r>
      <w:r w:rsidR="00CA7B04" w:rsidRPr="007C6717">
        <w:rPr>
          <w:rFonts w:eastAsia="Verdana" w:cs="Verdana"/>
          <w:spacing w:val="-2"/>
        </w:rPr>
        <w:t xml:space="preserve">Kar </w:t>
      </w:r>
      <w:r w:rsidRPr="007C6717">
        <w:rPr>
          <w:rFonts w:eastAsia="Verdana" w:cs="Verdana"/>
          <w:spacing w:val="-2"/>
        </w:rPr>
        <w:t>umownych do wysokości rzeczywiście poniesionej szkody, na zasadach ogólnych.</w:t>
      </w:r>
      <w:bookmarkStart w:id="17" w:name="_Toc455047572"/>
      <w:bookmarkStart w:id="18" w:name="_Toc178671932"/>
    </w:p>
    <w:p w14:paraId="324BC8A0" w14:textId="77777777" w:rsidR="00551AB2" w:rsidRPr="007C6717" w:rsidRDefault="00551AB2" w:rsidP="00551AB2">
      <w:pPr>
        <w:pStyle w:val="Akapitzlist"/>
        <w:spacing w:after="0" w:line="240" w:lineRule="auto"/>
        <w:ind w:left="567" w:right="63"/>
        <w:contextualSpacing w:val="0"/>
        <w:jc w:val="both"/>
        <w:rPr>
          <w:rFonts w:eastAsia="Verdana"/>
          <w:b/>
          <w:bCs/>
          <w:iCs/>
        </w:rPr>
      </w:pPr>
    </w:p>
    <w:p w14:paraId="03D34C5E" w14:textId="1B983A7F" w:rsidR="00363999" w:rsidRPr="007C6717" w:rsidRDefault="00363999" w:rsidP="00551AB2">
      <w:pPr>
        <w:pStyle w:val="Akapitzlist"/>
        <w:numPr>
          <w:ilvl w:val="0"/>
          <w:numId w:val="19"/>
        </w:numPr>
        <w:spacing w:after="0" w:line="240" w:lineRule="auto"/>
        <w:ind w:right="63"/>
        <w:jc w:val="both"/>
        <w:rPr>
          <w:rFonts w:eastAsia="Verdana"/>
          <w:b/>
          <w:bCs/>
          <w:iCs/>
        </w:rPr>
      </w:pPr>
      <w:r w:rsidRPr="007C6717">
        <w:rPr>
          <w:rFonts w:eastAsia="Verdana"/>
          <w:b/>
          <w:bCs/>
        </w:rPr>
        <w:t>Postanowienia końcowe</w:t>
      </w:r>
      <w:bookmarkEnd w:id="17"/>
      <w:bookmarkEnd w:id="18"/>
      <w:r w:rsidRPr="007C6717">
        <w:rPr>
          <w:rFonts w:eastAsia="Verdana"/>
          <w:b/>
          <w:bCs/>
        </w:rPr>
        <w:t xml:space="preserve"> </w:t>
      </w:r>
    </w:p>
    <w:p w14:paraId="03D34C5F" w14:textId="77777777" w:rsidR="00363999" w:rsidRPr="007C6717" w:rsidRDefault="00363999" w:rsidP="00661C26">
      <w:pPr>
        <w:pStyle w:val="Akapitzlist"/>
        <w:numPr>
          <w:ilvl w:val="1"/>
          <w:numId w:val="19"/>
        </w:numPr>
        <w:spacing w:before="80" w:after="0"/>
        <w:ind w:left="567" w:right="63" w:hanging="567"/>
        <w:contextualSpacing w:val="0"/>
        <w:jc w:val="both"/>
        <w:rPr>
          <w:rFonts w:eastAsia="Arial"/>
        </w:rPr>
      </w:pPr>
      <w:r w:rsidRPr="007C6717">
        <w:rPr>
          <w:rFonts w:eastAsia="Verdana" w:cs="Verdana"/>
        </w:rPr>
        <w:t>W sprawach nieuregulowanych niniejszą Gwarancją Jakości zastosowanie mają odpowiednie przepisy prawa polskiego, w szczególności przepisy Działu III Gwarancja przy sprzedaży ustawy - Kodeks Cywilny oraz ustawa - Prawo Zamówień Publicznych.</w:t>
      </w:r>
    </w:p>
    <w:p w14:paraId="03D34C60" w14:textId="77777777" w:rsidR="00363999" w:rsidRPr="007C6717" w:rsidRDefault="00363999" w:rsidP="00661C26">
      <w:pPr>
        <w:pStyle w:val="Akapitzlist"/>
        <w:numPr>
          <w:ilvl w:val="1"/>
          <w:numId w:val="19"/>
        </w:numPr>
        <w:spacing w:before="80" w:after="0"/>
        <w:ind w:left="567" w:right="63" w:hanging="567"/>
        <w:contextualSpacing w:val="0"/>
        <w:jc w:val="both"/>
        <w:rPr>
          <w:rFonts w:eastAsia="Verdana" w:cs="Verdana"/>
        </w:rPr>
      </w:pPr>
      <w:r w:rsidRPr="007C6717">
        <w:rPr>
          <w:rFonts w:eastAsia="Verdana" w:cs="Verdana"/>
        </w:rPr>
        <w:t>Niniejsza Gwarancja Jakości stanowi integralną część Umowy.</w:t>
      </w:r>
    </w:p>
    <w:p w14:paraId="03D34C63" w14:textId="77777777" w:rsidR="00363999" w:rsidRPr="008A5D94" w:rsidRDefault="00363999" w:rsidP="00363999">
      <w:pPr>
        <w:spacing w:before="80" w:after="0"/>
        <w:rPr>
          <w:rFonts w:eastAsia="Verdana" w:cs="Verdana"/>
        </w:rPr>
      </w:pPr>
    </w:p>
    <w:bookmarkEnd w:id="0"/>
    <w:p w14:paraId="03D34E8B" w14:textId="4D583CD2" w:rsidR="00363999" w:rsidRPr="008A5D94" w:rsidRDefault="00363999" w:rsidP="00363999">
      <w:pPr>
        <w:spacing w:before="80" w:after="0"/>
        <w:jc w:val="both"/>
        <w:rPr>
          <w:b/>
        </w:rPr>
      </w:pPr>
      <w:r w:rsidRPr="008A5D94">
        <w:rPr>
          <w:b/>
        </w:rPr>
        <w:t>PODPISY I PIECZĘCIE</w:t>
      </w:r>
    </w:p>
    <w:p w14:paraId="03D34E8C" w14:textId="77777777" w:rsidR="00363999" w:rsidRPr="008A5D94" w:rsidRDefault="00363999" w:rsidP="00363999">
      <w:pPr>
        <w:spacing w:before="80" w:after="0"/>
        <w:jc w:val="both"/>
      </w:pPr>
      <w:r w:rsidRPr="008A5D94">
        <w:rPr>
          <w:b/>
        </w:rPr>
        <w:t>W imieniu Gwaranta:</w:t>
      </w:r>
    </w:p>
    <w:sectPr w:rsidR="00363999" w:rsidRPr="008A5D94" w:rsidSect="00BD40BF">
      <w:headerReference w:type="default" r:id="rId11"/>
      <w:footerReference w:type="default" r:id="rId12"/>
      <w:pgSz w:w="11906" w:h="16838" w:code="9"/>
      <w:pgMar w:top="1417" w:right="1417" w:bottom="1417" w:left="1417" w:header="56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AD2ED" w14:textId="77777777" w:rsidR="00F4273D" w:rsidRDefault="00F4273D" w:rsidP="00363999">
      <w:pPr>
        <w:spacing w:after="0" w:line="240" w:lineRule="auto"/>
      </w:pPr>
      <w:r>
        <w:separator/>
      </w:r>
    </w:p>
  </w:endnote>
  <w:endnote w:type="continuationSeparator" w:id="0">
    <w:p w14:paraId="41679F80" w14:textId="77777777" w:rsidR="00F4273D" w:rsidRDefault="00F4273D" w:rsidP="00363999">
      <w:pPr>
        <w:spacing w:after="0" w:line="240" w:lineRule="auto"/>
      </w:pPr>
      <w:r>
        <w:continuationSeparator/>
      </w:r>
    </w:p>
  </w:endnote>
  <w:endnote w:type="continuationNotice" w:id="1">
    <w:p w14:paraId="2FA93CF0" w14:textId="77777777" w:rsidR="00F4273D" w:rsidRDefault="00F42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34E93" w14:textId="6076A9FA" w:rsidR="0072662C" w:rsidRDefault="0072662C" w:rsidP="00BD40BF">
    <w:pPr>
      <w:pStyle w:val="Stopka"/>
      <w:jc w:val="center"/>
    </w:pPr>
    <w:r w:rsidRPr="00AA032B">
      <w:rPr>
        <w:w w:val="90"/>
      </w:rPr>
      <w:fldChar w:fldCharType="begin"/>
    </w:r>
    <w:r w:rsidRPr="00AA032B">
      <w:rPr>
        <w:w w:val="90"/>
      </w:rPr>
      <w:instrText>PAGE   \* MERGEFORMAT</w:instrText>
    </w:r>
    <w:r w:rsidRPr="00AA032B">
      <w:rPr>
        <w:w w:val="90"/>
      </w:rPr>
      <w:fldChar w:fldCharType="separate"/>
    </w:r>
    <w:r w:rsidR="002F5D5E">
      <w:rPr>
        <w:noProof/>
        <w:w w:val="90"/>
      </w:rPr>
      <w:t>5</w:t>
    </w:r>
    <w:r w:rsidRPr="00AA032B">
      <w:rPr>
        <w:w w:val="9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4A1E4" w14:textId="77777777" w:rsidR="00F4273D" w:rsidRDefault="00F4273D" w:rsidP="00363999">
      <w:pPr>
        <w:spacing w:after="0" w:line="240" w:lineRule="auto"/>
      </w:pPr>
      <w:r>
        <w:separator/>
      </w:r>
    </w:p>
  </w:footnote>
  <w:footnote w:type="continuationSeparator" w:id="0">
    <w:p w14:paraId="0CE338E6" w14:textId="77777777" w:rsidR="00F4273D" w:rsidRDefault="00F4273D" w:rsidP="00363999">
      <w:pPr>
        <w:spacing w:after="0" w:line="240" w:lineRule="auto"/>
      </w:pPr>
      <w:r>
        <w:continuationSeparator/>
      </w:r>
    </w:p>
  </w:footnote>
  <w:footnote w:type="continuationNotice" w:id="1">
    <w:p w14:paraId="256DD7C2" w14:textId="77777777" w:rsidR="00F4273D" w:rsidRDefault="00F42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21AA2" w14:textId="77777777" w:rsidR="002F5D5E" w:rsidRDefault="002F5D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602A7"/>
    <w:multiLevelType w:val="multilevel"/>
    <w:tmpl w:val="DC80BAC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A4D9E"/>
    <w:multiLevelType w:val="hybridMultilevel"/>
    <w:tmpl w:val="5876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A56D5"/>
    <w:multiLevelType w:val="hybridMultilevel"/>
    <w:tmpl w:val="177E7E6E"/>
    <w:lvl w:ilvl="0" w:tplc="E0AA717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E1D10"/>
    <w:multiLevelType w:val="hybridMultilevel"/>
    <w:tmpl w:val="75640DF4"/>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903F2"/>
    <w:multiLevelType w:val="hybridMultilevel"/>
    <w:tmpl w:val="38B4A1B6"/>
    <w:lvl w:ilvl="0" w:tplc="9020B16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0DC97FAA"/>
    <w:multiLevelType w:val="hybridMultilevel"/>
    <w:tmpl w:val="C378581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5E6970"/>
    <w:multiLevelType w:val="hybridMultilevel"/>
    <w:tmpl w:val="74E029DE"/>
    <w:lvl w:ilvl="0" w:tplc="8F620818">
      <w:start w:val="1"/>
      <w:numFmt w:val="decimal"/>
      <w:lvlText w:val="%1."/>
      <w:lvlJc w:val="left"/>
      <w:pPr>
        <w:ind w:left="720" w:hanging="360"/>
      </w:pPr>
    </w:lvl>
    <w:lvl w:ilvl="1" w:tplc="C2943128">
      <w:start w:val="1"/>
      <w:numFmt w:val="decimal"/>
      <w:lvlText w:val="%2."/>
      <w:lvlJc w:val="left"/>
      <w:pPr>
        <w:ind w:left="720" w:hanging="360"/>
      </w:pPr>
    </w:lvl>
    <w:lvl w:ilvl="2" w:tplc="4416687C">
      <w:start w:val="1"/>
      <w:numFmt w:val="decimal"/>
      <w:lvlText w:val="%3."/>
      <w:lvlJc w:val="left"/>
      <w:pPr>
        <w:ind w:left="720" w:hanging="360"/>
      </w:pPr>
    </w:lvl>
    <w:lvl w:ilvl="3" w:tplc="C604046C">
      <w:start w:val="1"/>
      <w:numFmt w:val="decimal"/>
      <w:lvlText w:val="%4."/>
      <w:lvlJc w:val="left"/>
      <w:pPr>
        <w:ind w:left="720" w:hanging="360"/>
      </w:pPr>
    </w:lvl>
    <w:lvl w:ilvl="4" w:tplc="F15AAE92">
      <w:start w:val="1"/>
      <w:numFmt w:val="decimal"/>
      <w:lvlText w:val="%5."/>
      <w:lvlJc w:val="left"/>
      <w:pPr>
        <w:ind w:left="720" w:hanging="360"/>
      </w:pPr>
    </w:lvl>
    <w:lvl w:ilvl="5" w:tplc="B9684DF8">
      <w:start w:val="1"/>
      <w:numFmt w:val="decimal"/>
      <w:lvlText w:val="%6."/>
      <w:lvlJc w:val="left"/>
      <w:pPr>
        <w:ind w:left="720" w:hanging="360"/>
      </w:pPr>
    </w:lvl>
    <w:lvl w:ilvl="6" w:tplc="BBD2E064">
      <w:start w:val="1"/>
      <w:numFmt w:val="decimal"/>
      <w:lvlText w:val="%7."/>
      <w:lvlJc w:val="left"/>
      <w:pPr>
        <w:ind w:left="720" w:hanging="360"/>
      </w:pPr>
    </w:lvl>
    <w:lvl w:ilvl="7" w:tplc="E9F0293E">
      <w:start w:val="1"/>
      <w:numFmt w:val="decimal"/>
      <w:lvlText w:val="%8."/>
      <w:lvlJc w:val="left"/>
      <w:pPr>
        <w:ind w:left="720" w:hanging="360"/>
      </w:pPr>
    </w:lvl>
    <w:lvl w:ilvl="8" w:tplc="8E8E42D4">
      <w:start w:val="1"/>
      <w:numFmt w:val="decimal"/>
      <w:lvlText w:val="%9."/>
      <w:lvlJc w:val="left"/>
      <w:pPr>
        <w:ind w:left="720" w:hanging="360"/>
      </w:pPr>
    </w:lvl>
  </w:abstractNum>
  <w:abstractNum w:abstractNumId="7" w15:restartNumberingAfterBreak="0">
    <w:nsid w:val="130B4672"/>
    <w:multiLevelType w:val="hybridMultilevel"/>
    <w:tmpl w:val="0F0EF4B4"/>
    <w:lvl w:ilvl="0" w:tplc="9020B162">
      <w:start w:val="1"/>
      <w:numFmt w:val="bullet"/>
      <w:lvlText w:val=""/>
      <w:lvlJc w:val="left"/>
      <w:pPr>
        <w:ind w:left="1856" w:hanging="360"/>
      </w:pPr>
      <w:rPr>
        <w:rFonts w:ascii="Symbol" w:hAnsi="Symbol" w:hint="default"/>
      </w:rPr>
    </w:lvl>
    <w:lvl w:ilvl="1" w:tplc="04150003" w:tentative="1">
      <w:start w:val="1"/>
      <w:numFmt w:val="bullet"/>
      <w:lvlText w:val="o"/>
      <w:lvlJc w:val="left"/>
      <w:pPr>
        <w:ind w:left="2576" w:hanging="360"/>
      </w:pPr>
      <w:rPr>
        <w:rFonts w:ascii="Courier New" w:hAnsi="Courier New" w:cs="Courier New" w:hint="default"/>
      </w:rPr>
    </w:lvl>
    <w:lvl w:ilvl="2" w:tplc="04150005" w:tentative="1">
      <w:start w:val="1"/>
      <w:numFmt w:val="bullet"/>
      <w:lvlText w:val=""/>
      <w:lvlJc w:val="left"/>
      <w:pPr>
        <w:ind w:left="3296" w:hanging="360"/>
      </w:pPr>
      <w:rPr>
        <w:rFonts w:ascii="Wingdings" w:hAnsi="Wingdings" w:hint="default"/>
      </w:rPr>
    </w:lvl>
    <w:lvl w:ilvl="3" w:tplc="04150001" w:tentative="1">
      <w:start w:val="1"/>
      <w:numFmt w:val="bullet"/>
      <w:lvlText w:val=""/>
      <w:lvlJc w:val="left"/>
      <w:pPr>
        <w:ind w:left="4016" w:hanging="360"/>
      </w:pPr>
      <w:rPr>
        <w:rFonts w:ascii="Symbol" w:hAnsi="Symbol" w:hint="default"/>
      </w:rPr>
    </w:lvl>
    <w:lvl w:ilvl="4" w:tplc="04150003" w:tentative="1">
      <w:start w:val="1"/>
      <w:numFmt w:val="bullet"/>
      <w:lvlText w:val="o"/>
      <w:lvlJc w:val="left"/>
      <w:pPr>
        <w:ind w:left="4736" w:hanging="360"/>
      </w:pPr>
      <w:rPr>
        <w:rFonts w:ascii="Courier New" w:hAnsi="Courier New" w:cs="Courier New" w:hint="default"/>
      </w:rPr>
    </w:lvl>
    <w:lvl w:ilvl="5" w:tplc="04150005" w:tentative="1">
      <w:start w:val="1"/>
      <w:numFmt w:val="bullet"/>
      <w:lvlText w:val=""/>
      <w:lvlJc w:val="left"/>
      <w:pPr>
        <w:ind w:left="5456" w:hanging="360"/>
      </w:pPr>
      <w:rPr>
        <w:rFonts w:ascii="Wingdings" w:hAnsi="Wingdings" w:hint="default"/>
      </w:rPr>
    </w:lvl>
    <w:lvl w:ilvl="6" w:tplc="04150001" w:tentative="1">
      <w:start w:val="1"/>
      <w:numFmt w:val="bullet"/>
      <w:lvlText w:val=""/>
      <w:lvlJc w:val="left"/>
      <w:pPr>
        <w:ind w:left="6176" w:hanging="360"/>
      </w:pPr>
      <w:rPr>
        <w:rFonts w:ascii="Symbol" w:hAnsi="Symbol" w:hint="default"/>
      </w:rPr>
    </w:lvl>
    <w:lvl w:ilvl="7" w:tplc="04150003" w:tentative="1">
      <w:start w:val="1"/>
      <w:numFmt w:val="bullet"/>
      <w:lvlText w:val="o"/>
      <w:lvlJc w:val="left"/>
      <w:pPr>
        <w:ind w:left="6896" w:hanging="360"/>
      </w:pPr>
      <w:rPr>
        <w:rFonts w:ascii="Courier New" w:hAnsi="Courier New" w:cs="Courier New" w:hint="default"/>
      </w:rPr>
    </w:lvl>
    <w:lvl w:ilvl="8" w:tplc="04150005" w:tentative="1">
      <w:start w:val="1"/>
      <w:numFmt w:val="bullet"/>
      <w:lvlText w:val=""/>
      <w:lvlJc w:val="left"/>
      <w:pPr>
        <w:ind w:left="7616" w:hanging="360"/>
      </w:pPr>
      <w:rPr>
        <w:rFonts w:ascii="Wingdings" w:hAnsi="Wingdings" w:hint="default"/>
      </w:rPr>
    </w:lvl>
  </w:abstractNum>
  <w:abstractNum w:abstractNumId="8" w15:restartNumberingAfterBreak="0">
    <w:nsid w:val="13C92C59"/>
    <w:multiLevelType w:val="hybridMultilevel"/>
    <w:tmpl w:val="7D98999E"/>
    <w:lvl w:ilvl="0" w:tplc="0415000B">
      <w:start w:val="1"/>
      <w:numFmt w:val="bullet"/>
      <w:lvlText w:val=""/>
      <w:lvlJc w:val="left"/>
      <w:pPr>
        <w:ind w:left="795" w:hanging="360"/>
      </w:pPr>
      <w:rPr>
        <w:rFonts w:ascii="Wingdings" w:hAnsi="Wingdings"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9" w15:restartNumberingAfterBreak="0">
    <w:nsid w:val="189A12E7"/>
    <w:multiLevelType w:val="hybridMultilevel"/>
    <w:tmpl w:val="738EA22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8067C3"/>
    <w:multiLevelType w:val="hybridMultilevel"/>
    <w:tmpl w:val="DBF0FF02"/>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8A756C"/>
    <w:multiLevelType w:val="hybridMultilevel"/>
    <w:tmpl w:val="EB2EF67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C3454C"/>
    <w:multiLevelType w:val="hybridMultilevel"/>
    <w:tmpl w:val="2F8EB2E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855410"/>
    <w:multiLevelType w:val="hybridMultilevel"/>
    <w:tmpl w:val="4AE836DA"/>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442ACA"/>
    <w:multiLevelType w:val="hybridMultilevel"/>
    <w:tmpl w:val="9EDCC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675FF6"/>
    <w:multiLevelType w:val="hybridMultilevel"/>
    <w:tmpl w:val="5756132C"/>
    <w:lvl w:ilvl="0" w:tplc="9020B162">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6" w15:restartNumberingAfterBreak="0">
    <w:nsid w:val="34DC1B20"/>
    <w:multiLevelType w:val="hybridMultilevel"/>
    <w:tmpl w:val="FB1AD40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21548C"/>
    <w:multiLevelType w:val="hybridMultilevel"/>
    <w:tmpl w:val="6C5C9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6D3919"/>
    <w:multiLevelType w:val="multilevel"/>
    <w:tmpl w:val="EA789852"/>
    <w:lvl w:ilvl="0">
      <w:start w:val="1"/>
      <w:numFmt w:val="decimal"/>
      <w:lvlText w:val="%1."/>
      <w:lvlJc w:val="left"/>
      <w:pPr>
        <w:ind w:left="360" w:hanging="360"/>
      </w:pPr>
    </w:lvl>
    <w:lvl w:ilvl="1">
      <w:start w:val="1"/>
      <w:numFmt w:val="decimal"/>
      <w:isLgl/>
      <w:lvlText w:val="%1.%2"/>
      <w:lvlJc w:val="left"/>
      <w:pPr>
        <w:ind w:left="502"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3C8322DA"/>
    <w:multiLevelType w:val="hybridMultilevel"/>
    <w:tmpl w:val="775EB7E4"/>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D3853B5"/>
    <w:multiLevelType w:val="hybridMultilevel"/>
    <w:tmpl w:val="0E623EBE"/>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5960F3"/>
    <w:multiLevelType w:val="hybridMultilevel"/>
    <w:tmpl w:val="1062CC8C"/>
    <w:lvl w:ilvl="0" w:tplc="AC2EFE94">
      <w:start w:val="1"/>
      <w:numFmt w:val="lowerLetter"/>
      <w:lvlText w:val="%1)"/>
      <w:lvlJc w:val="left"/>
      <w:pPr>
        <w:ind w:left="2272" w:hanging="360"/>
      </w:pPr>
      <w:rPr>
        <w:rFonts w:hint="default"/>
      </w:rPr>
    </w:lvl>
    <w:lvl w:ilvl="1" w:tplc="04150019" w:tentative="1">
      <w:start w:val="1"/>
      <w:numFmt w:val="lowerLetter"/>
      <w:lvlText w:val="%2."/>
      <w:lvlJc w:val="left"/>
      <w:pPr>
        <w:ind w:left="2992" w:hanging="360"/>
      </w:pPr>
    </w:lvl>
    <w:lvl w:ilvl="2" w:tplc="0415001B" w:tentative="1">
      <w:start w:val="1"/>
      <w:numFmt w:val="lowerRoman"/>
      <w:lvlText w:val="%3."/>
      <w:lvlJc w:val="right"/>
      <w:pPr>
        <w:ind w:left="3712" w:hanging="180"/>
      </w:pPr>
    </w:lvl>
    <w:lvl w:ilvl="3" w:tplc="0415000F" w:tentative="1">
      <w:start w:val="1"/>
      <w:numFmt w:val="decimal"/>
      <w:lvlText w:val="%4."/>
      <w:lvlJc w:val="left"/>
      <w:pPr>
        <w:ind w:left="4432" w:hanging="360"/>
      </w:pPr>
    </w:lvl>
    <w:lvl w:ilvl="4" w:tplc="04150019" w:tentative="1">
      <w:start w:val="1"/>
      <w:numFmt w:val="lowerLetter"/>
      <w:lvlText w:val="%5."/>
      <w:lvlJc w:val="left"/>
      <w:pPr>
        <w:ind w:left="5152" w:hanging="360"/>
      </w:pPr>
    </w:lvl>
    <w:lvl w:ilvl="5" w:tplc="0415001B" w:tentative="1">
      <w:start w:val="1"/>
      <w:numFmt w:val="lowerRoman"/>
      <w:lvlText w:val="%6."/>
      <w:lvlJc w:val="right"/>
      <w:pPr>
        <w:ind w:left="5872" w:hanging="180"/>
      </w:pPr>
    </w:lvl>
    <w:lvl w:ilvl="6" w:tplc="0415000F" w:tentative="1">
      <w:start w:val="1"/>
      <w:numFmt w:val="decimal"/>
      <w:lvlText w:val="%7."/>
      <w:lvlJc w:val="left"/>
      <w:pPr>
        <w:ind w:left="6592" w:hanging="360"/>
      </w:pPr>
    </w:lvl>
    <w:lvl w:ilvl="7" w:tplc="04150019" w:tentative="1">
      <w:start w:val="1"/>
      <w:numFmt w:val="lowerLetter"/>
      <w:lvlText w:val="%8."/>
      <w:lvlJc w:val="left"/>
      <w:pPr>
        <w:ind w:left="7312" w:hanging="360"/>
      </w:pPr>
    </w:lvl>
    <w:lvl w:ilvl="8" w:tplc="0415001B" w:tentative="1">
      <w:start w:val="1"/>
      <w:numFmt w:val="lowerRoman"/>
      <w:lvlText w:val="%9."/>
      <w:lvlJc w:val="right"/>
      <w:pPr>
        <w:ind w:left="8032" w:hanging="180"/>
      </w:pPr>
    </w:lvl>
  </w:abstractNum>
  <w:abstractNum w:abstractNumId="22" w15:restartNumberingAfterBreak="0">
    <w:nsid w:val="41F81378"/>
    <w:multiLevelType w:val="hybridMultilevel"/>
    <w:tmpl w:val="7FD0E548"/>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310A31"/>
    <w:multiLevelType w:val="hybridMultilevel"/>
    <w:tmpl w:val="16D8B846"/>
    <w:lvl w:ilvl="0" w:tplc="AC2EFE94">
      <w:start w:val="1"/>
      <w:numFmt w:val="lowerLetter"/>
      <w:lvlText w:val="%1)"/>
      <w:lvlJc w:val="left"/>
      <w:pPr>
        <w:ind w:left="781" w:hanging="705"/>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444F4C2C"/>
    <w:multiLevelType w:val="multilevel"/>
    <w:tmpl w:val="B8AAEF68"/>
    <w:lvl w:ilvl="0">
      <w:start w:val="1"/>
      <w:numFmt w:val="decimal"/>
      <w:lvlText w:val="%1."/>
      <w:lvlJc w:val="left"/>
      <w:pPr>
        <w:ind w:left="360" w:hanging="360"/>
      </w:pPr>
      <w:rPr>
        <w:rFonts w:ascii="Verdana" w:eastAsia="Times New Roman" w:hAnsi="Verdana" w:cs="Arial"/>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44954190"/>
    <w:multiLevelType w:val="hybridMultilevel"/>
    <w:tmpl w:val="C294514E"/>
    <w:lvl w:ilvl="0" w:tplc="AC2EFE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6D34FED"/>
    <w:multiLevelType w:val="hybridMultilevel"/>
    <w:tmpl w:val="1744147C"/>
    <w:lvl w:ilvl="0" w:tplc="4E0A395A">
      <w:start w:val="1"/>
      <w:numFmt w:val="bullet"/>
      <w:lvlText w:val="‒"/>
      <w:lvlJc w:val="left"/>
      <w:pPr>
        <w:ind w:left="1429" w:hanging="360"/>
      </w:pPr>
      <w:rPr>
        <w:rFonts w:ascii="Verdana" w:hAnsi="Verdana"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D0E609A"/>
    <w:multiLevelType w:val="hybridMultilevel"/>
    <w:tmpl w:val="1F1483D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D40763"/>
    <w:multiLevelType w:val="hybridMultilevel"/>
    <w:tmpl w:val="E736C27C"/>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F9434C3"/>
    <w:multiLevelType w:val="hybridMultilevel"/>
    <w:tmpl w:val="A234450C"/>
    <w:lvl w:ilvl="0" w:tplc="4468CFDC">
      <w:start w:val="1"/>
      <w:numFmt w:val="lowerLetter"/>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1A43C93"/>
    <w:multiLevelType w:val="hybridMultilevel"/>
    <w:tmpl w:val="10888512"/>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866635"/>
    <w:multiLevelType w:val="multilevel"/>
    <w:tmpl w:val="5546BB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5F97DBC"/>
    <w:multiLevelType w:val="hybridMultilevel"/>
    <w:tmpl w:val="363C1EB0"/>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680150"/>
    <w:multiLevelType w:val="hybridMultilevel"/>
    <w:tmpl w:val="9F587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0300BD"/>
    <w:multiLevelType w:val="hybridMultilevel"/>
    <w:tmpl w:val="094ACF14"/>
    <w:lvl w:ilvl="0" w:tplc="DEE22A14">
      <w:start w:val="1"/>
      <w:numFmt w:val="decimal"/>
      <w:lvlText w:val="%1."/>
      <w:lvlJc w:val="left"/>
      <w:pPr>
        <w:ind w:left="720" w:hanging="360"/>
      </w:pPr>
    </w:lvl>
    <w:lvl w:ilvl="1" w:tplc="8AF082AE">
      <w:start w:val="1"/>
      <w:numFmt w:val="decimal"/>
      <w:lvlText w:val="%2."/>
      <w:lvlJc w:val="left"/>
      <w:pPr>
        <w:ind w:left="720" w:hanging="360"/>
      </w:pPr>
    </w:lvl>
    <w:lvl w:ilvl="2" w:tplc="D6D06D52">
      <w:start w:val="1"/>
      <w:numFmt w:val="decimal"/>
      <w:lvlText w:val="%3."/>
      <w:lvlJc w:val="left"/>
      <w:pPr>
        <w:ind w:left="720" w:hanging="360"/>
      </w:pPr>
    </w:lvl>
    <w:lvl w:ilvl="3" w:tplc="39B8D2D2">
      <w:start w:val="1"/>
      <w:numFmt w:val="decimal"/>
      <w:lvlText w:val="%4."/>
      <w:lvlJc w:val="left"/>
      <w:pPr>
        <w:ind w:left="720" w:hanging="360"/>
      </w:pPr>
    </w:lvl>
    <w:lvl w:ilvl="4" w:tplc="70EC823A">
      <w:start w:val="1"/>
      <w:numFmt w:val="decimal"/>
      <w:lvlText w:val="%5."/>
      <w:lvlJc w:val="left"/>
      <w:pPr>
        <w:ind w:left="720" w:hanging="360"/>
      </w:pPr>
    </w:lvl>
    <w:lvl w:ilvl="5" w:tplc="5ED0EB96">
      <w:start w:val="1"/>
      <w:numFmt w:val="decimal"/>
      <w:lvlText w:val="%6."/>
      <w:lvlJc w:val="left"/>
      <w:pPr>
        <w:ind w:left="720" w:hanging="360"/>
      </w:pPr>
    </w:lvl>
    <w:lvl w:ilvl="6" w:tplc="7068A85E">
      <w:start w:val="1"/>
      <w:numFmt w:val="decimal"/>
      <w:lvlText w:val="%7."/>
      <w:lvlJc w:val="left"/>
      <w:pPr>
        <w:ind w:left="720" w:hanging="360"/>
      </w:pPr>
    </w:lvl>
    <w:lvl w:ilvl="7" w:tplc="93CEAB2C">
      <w:start w:val="1"/>
      <w:numFmt w:val="decimal"/>
      <w:lvlText w:val="%8."/>
      <w:lvlJc w:val="left"/>
      <w:pPr>
        <w:ind w:left="720" w:hanging="360"/>
      </w:pPr>
    </w:lvl>
    <w:lvl w:ilvl="8" w:tplc="5C94086A">
      <w:start w:val="1"/>
      <w:numFmt w:val="decimal"/>
      <w:lvlText w:val="%9."/>
      <w:lvlJc w:val="left"/>
      <w:pPr>
        <w:ind w:left="720" w:hanging="360"/>
      </w:pPr>
    </w:lvl>
  </w:abstractNum>
  <w:abstractNum w:abstractNumId="35" w15:restartNumberingAfterBreak="0">
    <w:nsid w:val="5C630636"/>
    <w:multiLevelType w:val="hybridMultilevel"/>
    <w:tmpl w:val="110C5FFA"/>
    <w:lvl w:ilvl="0" w:tplc="AC2EFE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3774AF"/>
    <w:multiLevelType w:val="hybridMultilevel"/>
    <w:tmpl w:val="C92C32F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424279"/>
    <w:multiLevelType w:val="hybridMultilevel"/>
    <w:tmpl w:val="841CC0B2"/>
    <w:lvl w:ilvl="0" w:tplc="F68E699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431979"/>
    <w:multiLevelType w:val="hybridMultilevel"/>
    <w:tmpl w:val="B9CEBF28"/>
    <w:lvl w:ilvl="0" w:tplc="1820077C">
      <w:start w:val="1"/>
      <w:numFmt w:val="decimal"/>
      <w:lvlText w:val="%1."/>
      <w:lvlJc w:val="left"/>
      <w:pPr>
        <w:ind w:left="720" w:hanging="360"/>
      </w:pPr>
    </w:lvl>
    <w:lvl w:ilvl="1" w:tplc="89703710">
      <w:start w:val="1"/>
      <w:numFmt w:val="decimal"/>
      <w:lvlText w:val="%2."/>
      <w:lvlJc w:val="left"/>
      <w:pPr>
        <w:ind w:left="720" w:hanging="360"/>
      </w:pPr>
    </w:lvl>
    <w:lvl w:ilvl="2" w:tplc="D8EA40EC">
      <w:start w:val="1"/>
      <w:numFmt w:val="decimal"/>
      <w:lvlText w:val="%3."/>
      <w:lvlJc w:val="left"/>
      <w:pPr>
        <w:ind w:left="720" w:hanging="360"/>
      </w:pPr>
    </w:lvl>
    <w:lvl w:ilvl="3" w:tplc="32845F46">
      <w:start w:val="1"/>
      <w:numFmt w:val="decimal"/>
      <w:lvlText w:val="%4."/>
      <w:lvlJc w:val="left"/>
      <w:pPr>
        <w:ind w:left="720" w:hanging="360"/>
      </w:pPr>
    </w:lvl>
    <w:lvl w:ilvl="4" w:tplc="5F744040">
      <w:start w:val="1"/>
      <w:numFmt w:val="decimal"/>
      <w:lvlText w:val="%5."/>
      <w:lvlJc w:val="left"/>
      <w:pPr>
        <w:ind w:left="720" w:hanging="360"/>
      </w:pPr>
    </w:lvl>
    <w:lvl w:ilvl="5" w:tplc="21D2F724">
      <w:start w:val="1"/>
      <w:numFmt w:val="decimal"/>
      <w:lvlText w:val="%6."/>
      <w:lvlJc w:val="left"/>
      <w:pPr>
        <w:ind w:left="720" w:hanging="360"/>
      </w:pPr>
    </w:lvl>
    <w:lvl w:ilvl="6" w:tplc="E0580984">
      <w:start w:val="1"/>
      <w:numFmt w:val="decimal"/>
      <w:lvlText w:val="%7."/>
      <w:lvlJc w:val="left"/>
      <w:pPr>
        <w:ind w:left="720" w:hanging="360"/>
      </w:pPr>
    </w:lvl>
    <w:lvl w:ilvl="7" w:tplc="7284CA14">
      <w:start w:val="1"/>
      <w:numFmt w:val="decimal"/>
      <w:lvlText w:val="%8."/>
      <w:lvlJc w:val="left"/>
      <w:pPr>
        <w:ind w:left="720" w:hanging="360"/>
      </w:pPr>
    </w:lvl>
    <w:lvl w:ilvl="8" w:tplc="1C8EF0E8">
      <w:start w:val="1"/>
      <w:numFmt w:val="decimal"/>
      <w:lvlText w:val="%9."/>
      <w:lvlJc w:val="left"/>
      <w:pPr>
        <w:ind w:left="720" w:hanging="360"/>
      </w:pPr>
    </w:lvl>
  </w:abstractNum>
  <w:abstractNum w:abstractNumId="39" w15:restartNumberingAfterBreak="0">
    <w:nsid w:val="79DA7C91"/>
    <w:multiLevelType w:val="hybridMultilevel"/>
    <w:tmpl w:val="AC526168"/>
    <w:lvl w:ilvl="0" w:tplc="635060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86346C"/>
    <w:multiLevelType w:val="hybridMultilevel"/>
    <w:tmpl w:val="AA86400A"/>
    <w:lvl w:ilvl="0" w:tplc="80A2430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1985543">
    <w:abstractNumId w:val="15"/>
  </w:num>
  <w:num w:numId="2" w16cid:durableId="1033117887">
    <w:abstractNumId w:val="31"/>
  </w:num>
  <w:num w:numId="3" w16cid:durableId="1071580756">
    <w:abstractNumId w:val="23"/>
  </w:num>
  <w:num w:numId="4" w16cid:durableId="1633244841">
    <w:abstractNumId w:val="36"/>
  </w:num>
  <w:num w:numId="5" w16cid:durableId="914584546">
    <w:abstractNumId w:val="2"/>
  </w:num>
  <w:num w:numId="6" w16cid:durableId="2111047033">
    <w:abstractNumId w:val="9"/>
  </w:num>
  <w:num w:numId="7" w16cid:durableId="1950507162">
    <w:abstractNumId w:val="10"/>
  </w:num>
  <w:num w:numId="8" w16cid:durableId="1757900703">
    <w:abstractNumId w:val="40"/>
  </w:num>
  <w:num w:numId="9" w16cid:durableId="1598101747">
    <w:abstractNumId w:val="32"/>
  </w:num>
  <w:num w:numId="10" w16cid:durableId="1253049546">
    <w:abstractNumId w:val="37"/>
  </w:num>
  <w:num w:numId="11" w16cid:durableId="690492968">
    <w:abstractNumId w:val="12"/>
  </w:num>
  <w:num w:numId="12" w16cid:durableId="971520246">
    <w:abstractNumId w:val="27"/>
  </w:num>
  <w:num w:numId="13" w16cid:durableId="1470198046">
    <w:abstractNumId w:val="3"/>
  </w:num>
  <w:num w:numId="14" w16cid:durableId="728577109">
    <w:abstractNumId w:val="5"/>
  </w:num>
  <w:num w:numId="15" w16cid:durableId="916784551">
    <w:abstractNumId w:val="30"/>
  </w:num>
  <w:num w:numId="16" w16cid:durableId="63726847">
    <w:abstractNumId w:val="13"/>
  </w:num>
  <w:num w:numId="17" w16cid:durableId="1572885622">
    <w:abstractNumId w:val="22"/>
  </w:num>
  <w:num w:numId="18" w16cid:durableId="1350639662">
    <w:abstractNumId w:val="11"/>
  </w:num>
  <w:num w:numId="19" w16cid:durableId="226109603">
    <w:abstractNumId w:val="18"/>
  </w:num>
  <w:num w:numId="20" w16cid:durableId="465129141">
    <w:abstractNumId w:val="19"/>
  </w:num>
  <w:num w:numId="21" w16cid:durableId="465008492">
    <w:abstractNumId w:val="28"/>
  </w:num>
  <w:num w:numId="22" w16cid:durableId="1794399154">
    <w:abstractNumId w:val="17"/>
  </w:num>
  <w:num w:numId="23" w16cid:durableId="1032920280">
    <w:abstractNumId w:val="24"/>
  </w:num>
  <w:num w:numId="24" w16cid:durableId="1946617366">
    <w:abstractNumId w:val="39"/>
  </w:num>
  <w:num w:numId="25" w16cid:durableId="2017491231">
    <w:abstractNumId w:val="0"/>
  </w:num>
  <w:num w:numId="26" w16cid:durableId="1449665634">
    <w:abstractNumId w:val="7"/>
  </w:num>
  <w:num w:numId="27" w16cid:durableId="559439813">
    <w:abstractNumId w:val="1"/>
  </w:num>
  <w:num w:numId="28" w16cid:durableId="1213007876">
    <w:abstractNumId w:val="20"/>
  </w:num>
  <w:num w:numId="29" w16cid:durableId="1777362829">
    <w:abstractNumId w:val="4"/>
  </w:num>
  <w:num w:numId="30" w16cid:durableId="2132942011">
    <w:abstractNumId w:val="16"/>
  </w:num>
  <w:num w:numId="31" w16cid:durableId="215510921">
    <w:abstractNumId w:val="26"/>
  </w:num>
  <w:num w:numId="32" w16cid:durableId="1992126525">
    <w:abstractNumId w:val="29"/>
  </w:num>
  <w:num w:numId="33" w16cid:durableId="1489445629">
    <w:abstractNumId w:val="8"/>
  </w:num>
  <w:num w:numId="34" w16cid:durableId="191039312">
    <w:abstractNumId w:val="33"/>
  </w:num>
  <w:num w:numId="35" w16cid:durableId="916327075">
    <w:abstractNumId w:val="25"/>
  </w:num>
  <w:num w:numId="36" w16cid:durableId="663625436">
    <w:abstractNumId w:val="21"/>
  </w:num>
  <w:num w:numId="37" w16cid:durableId="1708096207">
    <w:abstractNumId w:val="35"/>
  </w:num>
  <w:num w:numId="38" w16cid:durableId="1651246043">
    <w:abstractNumId w:val="14"/>
  </w:num>
  <w:num w:numId="39" w16cid:durableId="189605989">
    <w:abstractNumId w:val="34"/>
  </w:num>
  <w:num w:numId="40" w16cid:durableId="1476877141">
    <w:abstractNumId w:val="38"/>
  </w:num>
  <w:num w:numId="41" w16cid:durableId="431826523">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EE7"/>
    <w:rsid w:val="00013066"/>
    <w:rsid w:val="00016AC3"/>
    <w:rsid w:val="00031312"/>
    <w:rsid w:val="00034E55"/>
    <w:rsid w:val="000426DC"/>
    <w:rsid w:val="00060521"/>
    <w:rsid w:val="00087EE7"/>
    <w:rsid w:val="000A79D4"/>
    <w:rsid w:val="000B1471"/>
    <w:rsid w:val="000C61B5"/>
    <w:rsid w:val="000D121E"/>
    <w:rsid w:val="000D582E"/>
    <w:rsid w:val="000F071A"/>
    <w:rsid w:val="00137BDC"/>
    <w:rsid w:val="001715C3"/>
    <w:rsid w:val="00186393"/>
    <w:rsid w:val="001A4168"/>
    <w:rsid w:val="001A4F67"/>
    <w:rsid w:val="001C06A9"/>
    <w:rsid w:val="001D3677"/>
    <w:rsid w:val="001F0C2E"/>
    <w:rsid w:val="002216DF"/>
    <w:rsid w:val="002365DF"/>
    <w:rsid w:val="002470D2"/>
    <w:rsid w:val="0025688F"/>
    <w:rsid w:val="002702CC"/>
    <w:rsid w:val="00292E56"/>
    <w:rsid w:val="002A4DF4"/>
    <w:rsid w:val="002B3B1C"/>
    <w:rsid w:val="002B5723"/>
    <w:rsid w:val="002D3F71"/>
    <w:rsid w:val="002F141F"/>
    <w:rsid w:val="002F5D5E"/>
    <w:rsid w:val="00320649"/>
    <w:rsid w:val="003206F7"/>
    <w:rsid w:val="0032075E"/>
    <w:rsid w:val="00327107"/>
    <w:rsid w:val="0034565E"/>
    <w:rsid w:val="00356C07"/>
    <w:rsid w:val="00363999"/>
    <w:rsid w:val="003710A5"/>
    <w:rsid w:val="00384BD1"/>
    <w:rsid w:val="00387829"/>
    <w:rsid w:val="003C513A"/>
    <w:rsid w:val="003E4E32"/>
    <w:rsid w:val="00423E13"/>
    <w:rsid w:val="004559BE"/>
    <w:rsid w:val="004739B1"/>
    <w:rsid w:val="004B5DEA"/>
    <w:rsid w:val="004C0514"/>
    <w:rsid w:val="004D0605"/>
    <w:rsid w:val="00524487"/>
    <w:rsid w:val="0054384F"/>
    <w:rsid w:val="00546039"/>
    <w:rsid w:val="00550789"/>
    <w:rsid w:val="00551AB2"/>
    <w:rsid w:val="0056397A"/>
    <w:rsid w:val="0056496D"/>
    <w:rsid w:val="0057171D"/>
    <w:rsid w:val="00586FCA"/>
    <w:rsid w:val="00597867"/>
    <w:rsid w:val="005B5365"/>
    <w:rsid w:val="005C5559"/>
    <w:rsid w:val="005D65D6"/>
    <w:rsid w:val="005D68B1"/>
    <w:rsid w:val="005E0489"/>
    <w:rsid w:val="005E0823"/>
    <w:rsid w:val="005E4CC7"/>
    <w:rsid w:val="005F1590"/>
    <w:rsid w:val="005F4C75"/>
    <w:rsid w:val="005F574F"/>
    <w:rsid w:val="00630BA0"/>
    <w:rsid w:val="00635CB5"/>
    <w:rsid w:val="00657758"/>
    <w:rsid w:val="00661C26"/>
    <w:rsid w:val="00673143"/>
    <w:rsid w:val="00677DA8"/>
    <w:rsid w:val="00695077"/>
    <w:rsid w:val="006B4DF7"/>
    <w:rsid w:val="00701657"/>
    <w:rsid w:val="0072662C"/>
    <w:rsid w:val="00731512"/>
    <w:rsid w:val="007551C1"/>
    <w:rsid w:val="00757391"/>
    <w:rsid w:val="00766ADD"/>
    <w:rsid w:val="0078770F"/>
    <w:rsid w:val="007C21DD"/>
    <w:rsid w:val="007C6717"/>
    <w:rsid w:val="007D1F77"/>
    <w:rsid w:val="007E274F"/>
    <w:rsid w:val="00820738"/>
    <w:rsid w:val="008341DC"/>
    <w:rsid w:val="00842289"/>
    <w:rsid w:val="00855083"/>
    <w:rsid w:val="00856319"/>
    <w:rsid w:val="0086178D"/>
    <w:rsid w:val="00884688"/>
    <w:rsid w:val="00886BF1"/>
    <w:rsid w:val="008A5D94"/>
    <w:rsid w:val="008A697D"/>
    <w:rsid w:val="008F4660"/>
    <w:rsid w:val="00900BD3"/>
    <w:rsid w:val="00902FE5"/>
    <w:rsid w:val="00920A13"/>
    <w:rsid w:val="009234EF"/>
    <w:rsid w:val="00933E38"/>
    <w:rsid w:val="00935D6F"/>
    <w:rsid w:val="00952C6D"/>
    <w:rsid w:val="009740C2"/>
    <w:rsid w:val="00984055"/>
    <w:rsid w:val="00986C98"/>
    <w:rsid w:val="00990418"/>
    <w:rsid w:val="009A1338"/>
    <w:rsid w:val="009D00D8"/>
    <w:rsid w:val="00A023DC"/>
    <w:rsid w:val="00A4326E"/>
    <w:rsid w:val="00A50DEA"/>
    <w:rsid w:val="00A524F3"/>
    <w:rsid w:val="00A8172F"/>
    <w:rsid w:val="00AC1A5B"/>
    <w:rsid w:val="00AC403E"/>
    <w:rsid w:val="00AE4248"/>
    <w:rsid w:val="00AE6A12"/>
    <w:rsid w:val="00AF0120"/>
    <w:rsid w:val="00AF58DA"/>
    <w:rsid w:val="00B60A37"/>
    <w:rsid w:val="00B67270"/>
    <w:rsid w:val="00B71804"/>
    <w:rsid w:val="00B94728"/>
    <w:rsid w:val="00BB2E41"/>
    <w:rsid w:val="00BD40BF"/>
    <w:rsid w:val="00BF5E14"/>
    <w:rsid w:val="00C04DBF"/>
    <w:rsid w:val="00C117F0"/>
    <w:rsid w:val="00C46217"/>
    <w:rsid w:val="00C64FD8"/>
    <w:rsid w:val="00C728CF"/>
    <w:rsid w:val="00C74E95"/>
    <w:rsid w:val="00C87BDE"/>
    <w:rsid w:val="00CA6889"/>
    <w:rsid w:val="00CA7B04"/>
    <w:rsid w:val="00CD4C3F"/>
    <w:rsid w:val="00CF29A3"/>
    <w:rsid w:val="00D21BB6"/>
    <w:rsid w:val="00D43D3E"/>
    <w:rsid w:val="00D65A1D"/>
    <w:rsid w:val="00D67575"/>
    <w:rsid w:val="00D770DE"/>
    <w:rsid w:val="00DA342E"/>
    <w:rsid w:val="00DB0930"/>
    <w:rsid w:val="00DB5699"/>
    <w:rsid w:val="00DB5D3C"/>
    <w:rsid w:val="00DC0809"/>
    <w:rsid w:val="00DC11E3"/>
    <w:rsid w:val="00DF5966"/>
    <w:rsid w:val="00E00D11"/>
    <w:rsid w:val="00E20D53"/>
    <w:rsid w:val="00E22ADF"/>
    <w:rsid w:val="00E233BC"/>
    <w:rsid w:val="00E27DE4"/>
    <w:rsid w:val="00E55E79"/>
    <w:rsid w:val="00E72D7E"/>
    <w:rsid w:val="00E91F13"/>
    <w:rsid w:val="00EA7018"/>
    <w:rsid w:val="00EC654E"/>
    <w:rsid w:val="00EC7E62"/>
    <w:rsid w:val="00EF087A"/>
    <w:rsid w:val="00F0091C"/>
    <w:rsid w:val="00F35DF1"/>
    <w:rsid w:val="00F4273D"/>
    <w:rsid w:val="00F712E9"/>
    <w:rsid w:val="00FB7C64"/>
    <w:rsid w:val="00FD7B45"/>
    <w:rsid w:val="00FE44ED"/>
    <w:rsid w:val="36B540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34BC2"/>
  <w15:chartTrackingRefBased/>
  <w15:docId w15:val="{A73B16C4-C24F-4FD5-A93F-947E07A0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1BB6"/>
    <w:pPr>
      <w:spacing w:after="200" w:line="276" w:lineRule="auto"/>
    </w:pPr>
    <w:rPr>
      <w:rFonts w:ascii="Verdana" w:eastAsia="Calibri" w:hAnsi="Verdana" w:cs="Arial"/>
      <w:sz w:val="20"/>
      <w:szCs w:val="20"/>
      <w:lang w:eastAsia="pl-PL"/>
    </w:rPr>
  </w:style>
  <w:style w:type="paragraph" w:styleId="Nagwek1">
    <w:name w:val="heading 1"/>
    <w:basedOn w:val="Normalny"/>
    <w:next w:val="Normalny"/>
    <w:link w:val="Nagwek1Znak"/>
    <w:uiPriority w:val="9"/>
    <w:qFormat/>
    <w:rsid w:val="00363999"/>
    <w:pPr>
      <w:keepNext/>
      <w:spacing w:before="120" w:after="120"/>
      <w:outlineLvl w:val="0"/>
    </w:pPr>
    <w:rPr>
      <w:rFonts w:eastAsia="Times New Roman"/>
      <w:b/>
      <w:bCs/>
      <w:kern w:val="32"/>
      <w:szCs w:val="32"/>
    </w:rPr>
  </w:style>
  <w:style w:type="paragraph" w:styleId="Nagwek2">
    <w:name w:val="heading 2"/>
    <w:basedOn w:val="Normalny"/>
    <w:next w:val="Normalny"/>
    <w:link w:val="Nagwek2Znak"/>
    <w:uiPriority w:val="9"/>
    <w:unhideWhenUsed/>
    <w:qFormat/>
    <w:rsid w:val="00363999"/>
    <w:pPr>
      <w:keepNext/>
      <w:spacing w:before="120" w:after="120"/>
      <w:outlineLvl w:val="1"/>
    </w:pPr>
    <w:rPr>
      <w:rFonts w:eastAsia="Times New Roman"/>
      <w:b/>
      <w:bCs/>
      <w:iCs/>
      <w:szCs w:val="28"/>
    </w:rPr>
  </w:style>
  <w:style w:type="paragraph" w:styleId="Nagwek3">
    <w:name w:val="heading 3"/>
    <w:basedOn w:val="Normalny"/>
    <w:next w:val="Normalny"/>
    <w:link w:val="Nagwek3Znak"/>
    <w:uiPriority w:val="9"/>
    <w:semiHidden/>
    <w:unhideWhenUsed/>
    <w:qFormat/>
    <w:rsid w:val="00363999"/>
    <w:pPr>
      <w:keepNext/>
      <w:spacing w:before="240" w:after="60"/>
      <w:outlineLvl w:val="2"/>
    </w:pPr>
    <w:rPr>
      <w:rFonts w:eastAsia="Times New Roman"/>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999"/>
    <w:rPr>
      <w:rFonts w:ascii="Verdana" w:eastAsia="Times New Roman" w:hAnsi="Verdana" w:cs="Arial"/>
      <w:b/>
      <w:bCs/>
      <w:kern w:val="32"/>
      <w:sz w:val="20"/>
      <w:szCs w:val="32"/>
      <w:lang w:eastAsia="pl-PL"/>
    </w:rPr>
  </w:style>
  <w:style w:type="character" w:customStyle="1" w:styleId="Nagwek2Znak">
    <w:name w:val="Nagłówek 2 Znak"/>
    <w:basedOn w:val="Domylnaczcionkaakapitu"/>
    <w:link w:val="Nagwek2"/>
    <w:uiPriority w:val="9"/>
    <w:rsid w:val="00363999"/>
    <w:rPr>
      <w:rFonts w:ascii="Verdana" w:eastAsia="Times New Roman" w:hAnsi="Verdana" w:cs="Arial"/>
      <w:b/>
      <w:bCs/>
      <w:iCs/>
      <w:sz w:val="20"/>
      <w:szCs w:val="28"/>
      <w:lang w:eastAsia="pl-PL"/>
    </w:rPr>
  </w:style>
  <w:style w:type="character" w:customStyle="1" w:styleId="Nagwek3Znak">
    <w:name w:val="Nagłówek 3 Znak"/>
    <w:basedOn w:val="Domylnaczcionkaakapitu"/>
    <w:link w:val="Nagwek3"/>
    <w:uiPriority w:val="9"/>
    <w:semiHidden/>
    <w:rsid w:val="00363999"/>
    <w:rPr>
      <w:rFonts w:ascii="Verdana" w:eastAsia="Times New Roman" w:hAnsi="Verdana" w:cs="Arial"/>
      <w:b/>
      <w:bCs/>
      <w:sz w:val="20"/>
      <w:szCs w:val="26"/>
      <w:lang w:eastAsia="pl-PL"/>
    </w:rPr>
  </w:style>
  <w:style w:type="paragraph" w:styleId="Akapitzlist">
    <w:name w:val="List Paragraph"/>
    <w:basedOn w:val="Normalny"/>
    <w:uiPriority w:val="34"/>
    <w:qFormat/>
    <w:rsid w:val="00363999"/>
    <w:pPr>
      <w:ind w:left="720"/>
      <w:contextualSpacing/>
    </w:pPr>
  </w:style>
  <w:style w:type="table" w:styleId="Tabela-Siatka">
    <w:name w:val="Table Grid"/>
    <w:basedOn w:val="Standardowy"/>
    <w:uiPriority w:val="59"/>
    <w:rsid w:val="00363999"/>
    <w:pPr>
      <w:spacing w:after="0" w:line="240" w:lineRule="auto"/>
    </w:pPr>
    <w:rPr>
      <w:rFonts w:ascii="Verdana" w:eastAsia="Calibri" w:hAnsi="Verdana"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63999"/>
    <w:rPr>
      <w:sz w:val="16"/>
      <w:szCs w:val="16"/>
    </w:rPr>
  </w:style>
  <w:style w:type="paragraph" w:styleId="Tekstkomentarza">
    <w:name w:val="annotation text"/>
    <w:basedOn w:val="Normalny"/>
    <w:link w:val="TekstkomentarzaZnak"/>
    <w:uiPriority w:val="99"/>
    <w:unhideWhenUsed/>
    <w:rsid w:val="00363999"/>
  </w:style>
  <w:style w:type="character" w:customStyle="1" w:styleId="TekstkomentarzaZnak">
    <w:name w:val="Tekst komentarza Znak"/>
    <w:basedOn w:val="Domylnaczcionkaakapitu"/>
    <w:link w:val="Tekstkomentarza"/>
    <w:uiPriority w:val="99"/>
    <w:rsid w:val="00363999"/>
    <w:rPr>
      <w:rFonts w:ascii="Verdana" w:eastAsia="Calibri" w:hAnsi="Verdana"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363999"/>
    <w:rPr>
      <w:b/>
      <w:bCs/>
    </w:rPr>
  </w:style>
  <w:style w:type="character" w:customStyle="1" w:styleId="TematkomentarzaZnak">
    <w:name w:val="Temat komentarza Znak"/>
    <w:basedOn w:val="TekstkomentarzaZnak"/>
    <w:link w:val="Tematkomentarza"/>
    <w:uiPriority w:val="99"/>
    <w:semiHidden/>
    <w:rsid w:val="00363999"/>
    <w:rPr>
      <w:rFonts w:ascii="Verdana" w:eastAsia="Calibri" w:hAnsi="Verdana" w:cs="Arial"/>
      <w:b/>
      <w:bCs/>
      <w:sz w:val="20"/>
      <w:szCs w:val="20"/>
      <w:lang w:eastAsia="pl-PL"/>
    </w:rPr>
  </w:style>
  <w:style w:type="paragraph" w:styleId="Tekstdymka">
    <w:name w:val="Balloon Text"/>
    <w:basedOn w:val="Normalny"/>
    <w:link w:val="TekstdymkaZnak"/>
    <w:uiPriority w:val="99"/>
    <w:semiHidden/>
    <w:unhideWhenUsed/>
    <w:rsid w:val="00363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3999"/>
    <w:rPr>
      <w:rFonts w:ascii="Tahoma" w:eastAsia="Calibri" w:hAnsi="Tahoma" w:cs="Tahoma"/>
      <w:sz w:val="16"/>
      <w:szCs w:val="16"/>
      <w:lang w:eastAsia="pl-PL"/>
    </w:rPr>
  </w:style>
  <w:style w:type="paragraph" w:styleId="Nagwek">
    <w:name w:val="header"/>
    <w:basedOn w:val="Normalny"/>
    <w:link w:val="NagwekZnak"/>
    <w:uiPriority w:val="99"/>
    <w:unhideWhenUsed/>
    <w:rsid w:val="00363999"/>
    <w:pPr>
      <w:tabs>
        <w:tab w:val="center" w:pos="4536"/>
        <w:tab w:val="right" w:pos="9072"/>
      </w:tabs>
    </w:pPr>
  </w:style>
  <w:style w:type="character" w:customStyle="1" w:styleId="NagwekZnak">
    <w:name w:val="Nagłówek Znak"/>
    <w:basedOn w:val="Domylnaczcionkaakapitu"/>
    <w:link w:val="Nagwek"/>
    <w:uiPriority w:val="99"/>
    <w:rsid w:val="00363999"/>
    <w:rPr>
      <w:rFonts w:ascii="Verdana" w:eastAsia="Calibri" w:hAnsi="Verdana" w:cs="Arial"/>
      <w:sz w:val="20"/>
      <w:szCs w:val="20"/>
      <w:lang w:eastAsia="pl-PL"/>
    </w:rPr>
  </w:style>
  <w:style w:type="paragraph" w:styleId="Stopka">
    <w:name w:val="footer"/>
    <w:basedOn w:val="Normalny"/>
    <w:link w:val="StopkaZnak"/>
    <w:uiPriority w:val="99"/>
    <w:unhideWhenUsed/>
    <w:rsid w:val="00363999"/>
    <w:pPr>
      <w:tabs>
        <w:tab w:val="center" w:pos="4536"/>
        <w:tab w:val="right" w:pos="9072"/>
      </w:tabs>
    </w:pPr>
  </w:style>
  <w:style w:type="character" w:customStyle="1" w:styleId="StopkaZnak">
    <w:name w:val="Stopka Znak"/>
    <w:basedOn w:val="Domylnaczcionkaakapitu"/>
    <w:link w:val="Stopka"/>
    <w:uiPriority w:val="99"/>
    <w:rsid w:val="00363999"/>
    <w:rPr>
      <w:rFonts w:ascii="Verdana" w:eastAsia="Calibri" w:hAnsi="Verdana" w:cs="Arial"/>
      <w:sz w:val="20"/>
      <w:szCs w:val="20"/>
      <w:lang w:eastAsia="pl-PL"/>
    </w:rPr>
  </w:style>
  <w:style w:type="paragraph" w:styleId="Nagwekspisutreci">
    <w:name w:val="TOC Heading"/>
    <w:basedOn w:val="Nagwek1"/>
    <w:next w:val="Normalny"/>
    <w:uiPriority w:val="39"/>
    <w:unhideWhenUsed/>
    <w:qFormat/>
    <w:rsid w:val="00363999"/>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363999"/>
    <w:pPr>
      <w:tabs>
        <w:tab w:val="left" w:pos="426"/>
        <w:tab w:val="right" w:leader="dot" w:pos="9072"/>
      </w:tabs>
    </w:pPr>
  </w:style>
  <w:style w:type="character" w:styleId="Hipercze">
    <w:name w:val="Hyperlink"/>
    <w:uiPriority w:val="99"/>
    <w:unhideWhenUsed/>
    <w:rsid w:val="00363999"/>
    <w:rPr>
      <w:color w:val="0000FF"/>
      <w:u w:val="single"/>
    </w:rPr>
  </w:style>
  <w:style w:type="paragraph" w:styleId="Spistreci2">
    <w:name w:val="toc 2"/>
    <w:basedOn w:val="Normalny"/>
    <w:next w:val="Normalny"/>
    <w:autoRedefine/>
    <w:uiPriority w:val="39"/>
    <w:unhideWhenUsed/>
    <w:qFormat/>
    <w:rsid w:val="00363999"/>
    <w:pPr>
      <w:tabs>
        <w:tab w:val="left" w:pos="660"/>
        <w:tab w:val="right" w:leader="dot" w:pos="9060"/>
      </w:tabs>
      <w:spacing w:before="80" w:after="0"/>
      <w:ind w:left="220" w:hanging="78"/>
    </w:pPr>
    <w:rPr>
      <w:rFonts w:eastAsia="Times New Roman"/>
    </w:rPr>
  </w:style>
  <w:style w:type="paragraph" w:styleId="Spistreci3">
    <w:name w:val="toc 3"/>
    <w:basedOn w:val="Normalny"/>
    <w:next w:val="Normalny"/>
    <w:autoRedefine/>
    <w:uiPriority w:val="39"/>
    <w:semiHidden/>
    <w:unhideWhenUsed/>
    <w:qFormat/>
    <w:rsid w:val="00363999"/>
    <w:pPr>
      <w:spacing w:after="100"/>
      <w:ind w:left="440"/>
    </w:pPr>
    <w:rPr>
      <w:rFonts w:eastAsia="Times New Roman"/>
    </w:rPr>
  </w:style>
  <w:style w:type="character" w:styleId="Tekstzastpczy">
    <w:name w:val="Placeholder Text"/>
    <w:basedOn w:val="Domylnaczcionkaakapitu"/>
    <w:uiPriority w:val="99"/>
    <w:semiHidden/>
    <w:rsid w:val="00363999"/>
    <w:rPr>
      <w:color w:val="808080"/>
    </w:rPr>
  </w:style>
  <w:style w:type="table" w:customStyle="1" w:styleId="TableGrid0">
    <w:name w:val="Table Grid0"/>
    <w:rsid w:val="0036399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Poprawka">
    <w:name w:val="Revision"/>
    <w:hidden/>
    <w:uiPriority w:val="99"/>
    <w:semiHidden/>
    <w:rsid w:val="00363999"/>
    <w:pPr>
      <w:spacing w:after="0" w:line="240" w:lineRule="auto"/>
    </w:pPr>
    <w:rPr>
      <w:rFonts w:ascii="Verdana" w:eastAsia="Calibri" w:hAnsi="Verdana" w:cs="Arial"/>
      <w:sz w:val="20"/>
      <w:szCs w:val="20"/>
      <w:lang w:eastAsia="pl-PL"/>
    </w:rPr>
  </w:style>
  <w:style w:type="table" w:customStyle="1" w:styleId="Siatkatabelijasna1">
    <w:name w:val="Siatka tabeli — jasna1"/>
    <w:basedOn w:val="Standardowy"/>
    <w:uiPriority w:val="40"/>
    <w:rsid w:val="00363999"/>
    <w:pPr>
      <w:spacing w:after="0" w:line="240" w:lineRule="auto"/>
    </w:pPr>
    <w:rPr>
      <w:rFonts w:ascii="Verdana" w:eastAsia="Calibri" w:hAnsi="Verdana" w:cs="Arial"/>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basedOn w:val="Normalny"/>
    <w:link w:val="TekstprzypisudolnegoZnak"/>
    <w:uiPriority w:val="99"/>
    <w:semiHidden/>
    <w:unhideWhenUsed/>
    <w:rsid w:val="00363999"/>
    <w:pPr>
      <w:spacing w:after="0" w:line="240" w:lineRule="auto"/>
    </w:pPr>
  </w:style>
  <w:style w:type="character" w:customStyle="1" w:styleId="TekstprzypisudolnegoZnak">
    <w:name w:val="Tekst przypisu dolnego Znak"/>
    <w:basedOn w:val="Domylnaczcionkaakapitu"/>
    <w:link w:val="Tekstprzypisudolnego"/>
    <w:uiPriority w:val="99"/>
    <w:semiHidden/>
    <w:rsid w:val="00363999"/>
    <w:rPr>
      <w:rFonts w:ascii="Verdana" w:eastAsia="Calibri" w:hAnsi="Verdana" w:cs="Arial"/>
      <w:sz w:val="20"/>
      <w:szCs w:val="20"/>
      <w:lang w:eastAsia="pl-PL"/>
    </w:rPr>
  </w:style>
  <w:style w:type="character" w:styleId="Odwoanieprzypisudolnego">
    <w:name w:val="footnote reference"/>
    <w:basedOn w:val="Domylnaczcionkaakapitu"/>
    <w:uiPriority w:val="99"/>
    <w:semiHidden/>
    <w:unhideWhenUsed/>
    <w:rsid w:val="00363999"/>
    <w:rPr>
      <w:vertAlign w:val="superscript"/>
    </w:rPr>
  </w:style>
  <w:style w:type="character" w:styleId="Pogrubienie">
    <w:name w:val="Strong"/>
    <w:basedOn w:val="Domylnaczcionkaakapitu"/>
    <w:uiPriority w:val="22"/>
    <w:qFormat/>
    <w:rsid w:val="00363999"/>
    <w:rPr>
      <w:b/>
      <w:bCs/>
    </w:rPr>
  </w:style>
  <w:style w:type="table" w:customStyle="1" w:styleId="Tabela-Siatka4">
    <w:name w:val="Tabela - Siatka4"/>
    <w:basedOn w:val="Standardowy"/>
    <w:next w:val="Tabela-Siatka"/>
    <w:uiPriority w:val="59"/>
    <w:rsid w:val="0085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000808">
      <w:bodyDiv w:val="1"/>
      <w:marLeft w:val="0"/>
      <w:marRight w:val="0"/>
      <w:marTop w:val="0"/>
      <w:marBottom w:val="0"/>
      <w:divBdr>
        <w:top w:val="none" w:sz="0" w:space="0" w:color="auto"/>
        <w:left w:val="none" w:sz="0" w:space="0" w:color="auto"/>
        <w:bottom w:val="none" w:sz="0" w:space="0" w:color="auto"/>
        <w:right w:val="none" w:sz="0" w:space="0" w:color="auto"/>
      </w:divBdr>
    </w:div>
    <w:div w:id="93123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C76B98D7C84A94DA012099522F5525C" ma:contentTypeVersion="10" ma:contentTypeDescription="Utwórz nowy dokument." ma:contentTypeScope="" ma:versionID="3bc6f7c99397c219cfbf10578c935fab">
  <xsd:schema xmlns:xsd="http://www.w3.org/2001/XMLSchema" xmlns:xs="http://www.w3.org/2001/XMLSchema" xmlns:p="http://schemas.microsoft.com/office/2006/metadata/properties" xmlns:ns2="f2ee9952-4211-4083-b853-e2fbca6d3806" xmlns:ns3="0bbd9a3f-c049-44c4-9f67-d1a2bdc0730d" targetNamespace="http://schemas.microsoft.com/office/2006/metadata/properties" ma:root="true" ma:fieldsID="bbaeff235604beb0873d95d057c48b7b" ns2:_="" ns3:_="">
    <xsd:import namespace="f2ee9952-4211-4083-b853-e2fbca6d3806"/>
    <xsd:import namespace="0bbd9a3f-c049-44c4-9f67-d1a2bdc073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e9952-4211-4083-b853-e2fbca6d38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bd9a3f-c049-44c4-9f67-d1a2bdc0730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6687A-6C8B-451A-935E-509090F144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396F29-E6CC-49D1-8A6F-03C16C268A8B}">
  <ds:schemaRefs>
    <ds:schemaRef ds:uri="http://schemas.microsoft.com/sharepoint/v3/contenttype/forms"/>
  </ds:schemaRefs>
</ds:datastoreItem>
</file>

<file path=customXml/itemProps3.xml><?xml version="1.0" encoding="utf-8"?>
<ds:datastoreItem xmlns:ds="http://schemas.openxmlformats.org/officeDocument/2006/customXml" ds:itemID="{B18972A5-287E-4029-AF82-1D541897B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e9952-4211-4083-b853-e2fbca6d3806"/>
    <ds:schemaRef ds:uri="0bbd9a3f-c049-44c4-9f67-d1a2bdc07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050FC-1B74-4707-A79B-C54AB9F7E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2293</Words>
  <Characters>13764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 Bartosz</dc:creator>
  <cp:keywords/>
  <dc:description/>
  <cp:lastModifiedBy>Tomasz Banaszak Telco Legal</cp:lastModifiedBy>
  <cp:revision>14</cp:revision>
  <cp:lastPrinted>2019-02-26T12:37:00Z</cp:lastPrinted>
  <dcterms:created xsi:type="dcterms:W3CDTF">2025-04-16T13:20:00Z</dcterms:created>
  <dcterms:modified xsi:type="dcterms:W3CDTF">2025-04-22T10:53:00Z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0x0101006C76B98D7C84A94DA012099522F5525C</vt:lpwstr>
  </property>
</Properties>
</file>