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86" w:rsidRPr="002E6AAC" w:rsidRDefault="00B52886" w:rsidP="002E6AAC">
      <w:pPr>
        <w:tabs>
          <w:tab w:val="right" w:pos="9072"/>
        </w:tabs>
        <w:spacing w:line="276" w:lineRule="auto"/>
        <w:jc w:val="right"/>
        <w:rPr>
          <w:rFonts w:eastAsia="Calibri" w:cs="Arial"/>
          <w:szCs w:val="22"/>
          <w:lang w:eastAsia="en-US"/>
        </w:rPr>
      </w:pPr>
      <w:r w:rsidRPr="002E6AAC">
        <w:rPr>
          <w:rFonts w:eastAsia="Calibri" w:cs="Arial"/>
          <w:szCs w:val="22"/>
          <w:lang w:eastAsia="en-US"/>
        </w:rPr>
        <w:t xml:space="preserve">Świnoujście, dnia </w:t>
      </w:r>
      <w:r w:rsidR="005C046D">
        <w:rPr>
          <w:rFonts w:eastAsia="Calibri" w:cs="Arial"/>
          <w:szCs w:val="22"/>
          <w:lang w:eastAsia="en-US"/>
        </w:rPr>
        <w:t>20</w:t>
      </w:r>
      <w:r w:rsidR="00F70EB3" w:rsidRPr="002E6AAC">
        <w:rPr>
          <w:rFonts w:eastAsia="Calibri" w:cs="Arial"/>
          <w:szCs w:val="22"/>
          <w:lang w:eastAsia="en-US"/>
        </w:rPr>
        <w:t>.0</w:t>
      </w:r>
      <w:r w:rsidR="008923C1">
        <w:rPr>
          <w:rFonts w:eastAsia="Calibri" w:cs="Arial"/>
          <w:szCs w:val="22"/>
          <w:lang w:eastAsia="en-US"/>
        </w:rPr>
        <w:t>5</w:t>
      </w:r>
      <w:r w:rsidR="00F70EB3" w:rsidRPr="002E6AAC">
        <w:rPr>
          <w:rFonts w:eastAsia="Calibri" w:cs="Arial"/>
          <w:szCs w:val="22"/>
          <w:lang w:eastAsia="en-US"/>
        </w:rPr>
        <w:t>.</w:t>
      </w:r>
      <w:r w:rsidRPr="002E6AAC">
        <w:rPr>
          <w:rFonts w:eastAsia="Calibri" w:cs="Arial"/>
          <w:szCs w:val="22"/>
          <w:lang w:eastAsia="en-US"/>
        </w:rPr>
        <w:t>202</w:t>
      </w:r>
      <w:r w:rsidR="00F70EB3" w:rsidRPr="002E6AAC">
        <w:rPr>
          <w:rFonts w:eastAsia="Calibri" w:cs="Arial"/>
          <w:szCs w:val="22"/>
          <w:lang w:eastAsia="en-US"/>
        </w:rPr>
        <w:t>2</w:t>
      </w:r>
      <w:r w:rsidRPr="002E6AAC">
        <w:rPr>
          <w:rFonts w:eastAsia="Calibri" w:cs="Arial"/>
          <w:szCs w:val="22"/>
          <w:lang w:eastAsia="en-US"/>
        </w:rPr>
        <w:t> r.</w:t>
      </w:r>
    </w:p>
    <w:p w:rsidR="00B02620" w:rsidRDefault="00F70EB3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  <w:r w:rsidRPr="002E6AAC">
        <w:rPr>
          <w:rFonts w:eastAsia="Calibri" w:cs="Arial"/>
          <w:szCs w:val="22"/>
          <w:lang w:eastAsia="en-US"/>
        </w:rPr>
        <w:t>Nr postępowania BZP.271.1.</w:t>
      </w:r>
      <w:r w:rsidR="00AA4189" w:rsidRPr="002E6AAC">
        <w:rPr>
          <w:rFonts w:eastAsia="Calibri" w:cs="Arial"/>
          <w:szCs w:val="22"/>
          <w:lang w:eastAsia="en-US"/>
        </w:rPr>
        <w:t>1</w:t>
      </w:r>
      <w:r w:rsidR="008923C1">
        <w:rPr>
          <w:rFonts w:eastAsia="Calibri" w:cs="Arial"/>
          <w:szCs w:val="22"/>
          <w:lang w:eastAsia="en-US"/>
        </w:rPr>
        <w:t>7</w:t>
      </w:r>
      <w:r w:rsidR="00B52886" w:rsidRPr="002E6AAC">
        <w:rPr>
          <w:rFonts w:eastAsia="Calibri" w:cs="Arial"/>
          <w:szCs w:val="22"/>
          <w:lang w:eastAsia="en-US"/>
        </w:rPr>
        <w:t>.202</w:t>
      </w:r>
      <w:r w:rsidRPr="002E6AAC">
        <w:rPr>
          <w:rFonts w:eastAsia="Calibri" w:cs="Arial"/>
          <w:szCs w:val="22"/>
          <w:lang w:eastAsia="en-US"/>
        </w:rPr>
        <w:t>2</w:t>
      </w:r>
    </w:p>
    <w:p w:rsidR="00686F57" w:rsidRDefault="00686F57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</w:p>
    <w:p w:rsidR="00686F57" w:rsidRPr="002E6AAC" w:rsidRDefault="00686F57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</w:p>
    <w:p w:rsidR="00B02620" w:rsidRPr="002E6AAC" w:rsidRDefault="00B02620" w:rsidP="002E6AAC">
      <w:pPr>
        <w:tabs>
          <w:tab w:val="center" w:pos="4535"/>
        </w:tabs>
        <w:spacing w:line="276" w:lineRule="auto"/>
        <w:rPr>
          <w:rFonts w:eastAsia="Calibri" w:cs="Arial"/>
          <w:szCs w:val="22"/>
          <w:lang w:eastAsia="en-US"/>
        </w:rPr>
      </w:pPr>
    </w:p>
    <w:p w:rsidR="00B52886" w:rsidRPr="002E6AAC" w:rsidRDefault="00B52886" w:rsidP="002E6AAC">
      <w:pPr>
        <w:numPr>
          <w:ilvl w:val="0"/>
          <w:numId w:val="9"/>
        </w:numPr>
        <w:spacing w:line="276" w:lineRule="auto"/>
        <w:ind w:left="4253" w:hanging="284"/>
        <w:rPr>
          <w:rFonts w:eastAsia="Calibri" w:cs="Arial"/>
          <w:b/>
          <w:szCs w:val="22"/>
          <w:lang w:eastAsia="en-US"/>
        </w:rPr>
      </w:pPr>
      <w:r w:rsidRPr="002E6AAC">
        <w:rPr>
          <w:rFonts w:eastAsia="Calibri" w:cs="Arial"/>
          <w:b/>
          <w:szCs w:val="22"/>
          <w:lang w:eastAsia="en-US"/>
        </w:rPr>
        <w:t>Wykonawcy biorący udział w postępowaniu</w:t>
      </w:r>
    </w:p>
    <w:p w:rsidR="00B52886" w:rsidRPr="002E6AAC" w:rsidRDefault="00B52886" w:rsidP="002E6AAC">
      <w:pPr>
        <w:numPr>
          <w:ilvl w:val="0"/>
          <w:numId w:val="9"/>
        </w:numPr>
        <w:spacing w:line="276" w:lineRule="auto"/>
        <w:ind w:left="4253" w:hanging="284"/>
        <w:rPr>
          <w:rFonts w:eastAsia="Calibri" w:cs="Arial"/>
          <w:b/>
          <w:szCs w:val="22"/>
          <w:lang w:eastAsia="en-US"/>
        </w:rPr>
      </w:pPr>
      <w:r w:rsidRPr="002E6AAC">
        <w:rPr>
          <w:rFonts w:eastAsia="Calibri" w:cs="Arial"/>
          <w:b/>
          <w:szCs w:val="22"/>
          <w:lang w:eastAsia="en-US"/>
        </w:rPr>
        <w:t>Strona internetowa Zamawiającego, na której umieszczono ogłoszenie i </w:t>
      </w:r>
      <w:r w:rsidR="00892B4F" w:rsidRPr="002E6AAC">
        <w:rPr>
          <w:rFonts w:eastAsia="Calibri" w:cs="Arial"/>
          <w:b/>
          <w:szCs w:val="22"/>
          <w:lang w:eastAsia="en-US"/>
        </w:rPr>
        <w:t>dokumenty zamówienia</w:t>
      </w:r>
    </w:p>
    <w:p w:rsidR="00B52886" w:rsidRPr="002E6AAC" w:rsidRDefault="00B52886" w:rsidP="002E6AAC">
      <w:pPr>
        <w:spacing w:line="276" w:lineRule="auto"/>
        <w:rPr>
          <w:rFonts w:eastAsia="Calibri" w:cs="Arial"/>
          <w:szCs w:val="22"/>
          <w:lang w:eastAsia="en-US"/>
        </w:rPr>
      </w:pPr>
    </w:p>
    <w:p w:rsidR="00C6618D" w:rsidRDefault="00C6618D" w:rsidP="002E6AAC">
      <w:pPr>
        <w:spacing w:line="276" w:lineRule="auto"/>
        <w:rPr>
          <w:rFonts w:eastAsia="Calibri" w:cs="Arial"/>
          <w:szCs w:val="22"/>
          <w:lang w:eastAsia="en-US"/>
        </w:rPr>
      </w:pPr>
    </w:p>
    <w:p w:rsidR="00686F57" w:rsidRPr="002E6AAC" w:rsidRDefault="00686F57" w:rsidP="002E6AAC">
      <w:pPr>
        <w:spacing w:line="276" w:lineRule="auto"/>
        <w:rPr>
          <w:rFonts w:eastAsia="Calibri" w:cs="Arial"/>
          <w:szCs w:val="22"/>
          <w:lang w:eastAsia="en-US"/>
        </w:rPr>
      </w:pPr>
    </w:p>
    <w:p w:rsidR="00B52886" w:rsidRPr="00CB0793" w:rsidRDefault="00B52886" w:rsidP="00CB0793">
      <w:pPr>
        <w:spacing w:line="23" w:lineRule="atLeast"/>
        <w:rPr>
          <w:rFonts w:cs="Arial"/>
          <w:b/>
          <w:spacing w:val="-4"/>
          <w:szCs w:val="22"/>
        </w:rPr>
      </w:pPr>
      <w:r w:rsidRPr="00CB0793">
        <w:rPr>
          <w:rFonts w:eastAsia="Calibri" w:cs="Arial"/>
          <w:b/>
          <w:szCs w:val="22"/>
          <w:lang w:eastAsia="en-US"/>
        </w:rPr>
        <w:t>Dotyczy: postępowania nr BZP.271.1.</w:t>
      </w:r>
      <w:r w:rsidR="00AA4189" w:rsidRPr="00CB0793">
        <w:rPr>
          <w:rFonts w:eastAsia="Calibri" w:cs="Arial"/>
          <w:b/>
          <w:szCs w:val="22"/>
          <w:lang w:eastAsia="en-US"/>
        </w:rPr>
        <w:t>1</w:t>
      </w:r>
      <w:r w:rsidR="008923C1" w:rsidRPr="00CB0793">
        <w:rPr>
          <w:rFonts w:eastAsia="Calibri" w:cs="Arial"/>
          <w:b/>
          <w:szCs w:val="22"/>
          <w:lang w:eastAsia="en-US"/>
        </w:rPr>
        <w:t>7</w:t>
      </w:r>
      <w:r w:rsidRPr="00CB0793">
        <w:rPr>
          <w:rFonts w:eastAsia="Calibri" w:cs="Arial"/>
          <w:b/>
          <w:szCs w:val="22"/>
          <w:lang w:eastAsia="en-US"/>
        </w:rPr>
        <w:t>.202</w:t>
      </w:r>
      <w:r w:rsidR="00892B4F" w:rsidRPr="00CB0793">
        <w:rPr>
          <w:rFonts w:eastAsia="Calibri" w:cs="Arial"/>
          <w:b/>
          <w:szCs w:val="22"/>
          <w:lang w:eastAsia="en-US"/>
        </w:rPr>
        <w:t>2</w:t>
      </w:r>
      <w:r w:rsidRPr="00CB0793">
        <w:rPr>
          <w:rFonts w:eastAsia="Calibri" w:cs="Arial"/>
          <w:b/>
          <w:szCs w:val="22"/>
          <w:lang w:eastAsia="en-US"/>
        </w:rPr>
        <w:t xml:space="preserve"> pn. </w:t>
      </w:r>
      <w:r w:rsidRPr="00CB0793">
        <w:rPr>
          <w:rFonts w:eastAsia="Calibri" w:cs="Arial"/>
          <w:b/>
          <w:color w:val="000000"/>
          <w:szCs w:val="22"/>
          <w:lang w:eastAsia="en-US"/>
        </w:rPr>
        <w:t xml:space="preserve">Budowa i przebudowa dróg w ramach zadania inwestycyjnego pn. </w:t>
      </w:r>
      <w:r w:rsidR="008923C1" w:rsidRPr="00CB0793">
        <w:rPr>
          <w:rFonts w:cs="Arial"/>
          <w:b/>
          <w:spacing w:val="-4"/>
          <w:szCs w:val="22"/>
        </w:rPr>
        <w:t>„Budowa systemu zarządzania ruchem w Świnoujściu”</w:t>
      </w:r>
    </w:p>
    <w:p w:rsidR="00055D86" w:rsidRPr="00CB0793" w:rsidRDefault="00055D86" w:rsidP="00CB0793">
      <w:pPr>
        <w:spacing w:line="23" w:lineRule="atLeast"/>
        <w:rPr>
          <w:rFonts w:eastAsia="Calibri" w:cs="Arial"/>
          <w:szCs w:val="22"/>
          <w:lang w:eastAsia="en-US"/>
        </w:rPr>
      </w:pPr>
    </w:p>
    <w:p w:rsidR="00055D86" w:rsidRPr="00CB0793" w:rsidRDefault="008923C1" w:rsidP="00CB0793">
      <w:pPr>
        <w:spacing w:line="23" w:lineRule="atLeast"/>
        <w:rPr>
          <w:rFonts w:cs="Arial"/>
          <w:b/>
          <w:szCs w:val="22"/>
          <w:lang w:eastAsia="en-US"/>
        </w:rPr>
      </w:pPr>
      <w:r w:rsidRPr="00CB0793">
        <w:rPr>
          <w:rFonts w:cs="Arial"/>
          <w:b/>
          <w:szCs w:val="22"/>
          <w:lang w:eastAsia="en-US"/>
        </w:rPr>
        <w:t>Zmiana nr 2</w:t>
      </w:r>
    </w:p>
    <w:p w:rsidR="00055D86" w:rsidRPr="00CB0793" w:rsidRDefault="00055D86" w:rsidP="00CB0793">
      <w:pPr>
        <w:spacing w:line="23" w:lineRule="atLeast"/>
        <w:rPr>
          <w:rFonts w:eastAsia="Calibri" w:cs="Arial"/>
          <w:bCs/>
          <w:szCs w:val="22"/>
          <w:lang w:eastAsia="en-US"/>
        </w:rPr>
      </w:pPr>
      <w:r w:rsidRPr="00CB0793">
        <w:rPr>
          <w:rFonts w:eastAsia="Calibri" w:cs="Arial"/>
          <w:bCs/>
          <w:szCs w:val="22"/>
          <w:lang w:eastAsia="en-US"/>
        </w:rPr>
        <w:t>Zamawiający, na mocy przysługujących mu, w świetle przepisu art. 137 ust. 1 i ust. 2 ustawy</w:t>
      </w:r>
      <w:r w:rsidRPr="00CB0793">
        <w:rPr>
          <w:rFonts w:eastAsia="Calibri" w:cs="Arial"/>
          <w:bCs/>
          <w:szCs w:val="22"/>
          <w:lang w:eastAsia="en-US"/>
        </w:rPr>
        <w:br/>
        <w:t>z dnia 11 września 2019 r. Prawo zamówień publicznych (Dz. U. z 2021 r., poz. 1129 ze zm.), uprawnień, zmienia treść zapisów SWZ jak poniżej i udostępnia zmiany na stronie internetowej.</w:t>
      </w:r>
    </w:p>
    <w:p w:rsidR="00055D86" w:rsidRPr="00CB0793" w:rsidRDefault="00055D86" w:rsidP="00CB0793">
      <w:pPr>
        <w:spacing w:line="23" w:lineRule="atLeast"/>
        <w:rPr>
          <w:rFonts w:eastAsia="Calibri" w:cs="Arial"/>
          <w:bCs/>
          <w:szCs w:val="22"/>
          <w:lang w:eastAsia="en-US"/>
        </w:rPr>
      </w:pPr>
    </w:p>
    <w:p w:rsidR="008923C1" w:rsidRPr="00CB0793" w:rsidRDefault="001D56BD" w:rsidP="00CB0793">
      <w:pPr>
        <w:numPr>
          <w:ilvl w:val="0"/>
          <w:numId w:val="11"/>
        </w:numPr>
        <w:tabs>
          <w:tab w:val="left" w:pos="284"/>
        </w:tabs>
        <w:spacing w:line="23" w:lineRule="atLeast"/>
        <w:ind w:left="284" w:hanging="284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 xml:space="preserve">Zmienia się zapis </w:t>
      </w:r>
      <w:r w:rsidR="00CB0793" w:rsidRPr="00CB0793">
        <w:rPr>
          <w:rFonts w:eastAsia="Calibri" w:cs="Arial"/>
          <w:szCs w:val="22"/>
          <w:lang w:eastAsia="en-US"/>
        </w:rPr>
        <w:t xml:space="preserve">w </w:t>
      </w:r>
      <w:r w:rsidR="00102DA6">
        <w:rPr>
          <w:rFonts w:eastAsia="Calibri" w:cs="Arial"/>
          <w:szCs w:val="22"/>
          <w:lang w:eastAsia="en-US"/>
        </w:rPr>
        <w:t xml:space="preserve">ogłoszeniu w </w:t>
      </w:r>
      <w:r w:rsidRPr="00CB0793">
        <w:rPr>
          <w:rFonts w:eastAsia="Calibri" w:cs="Arial"/>
          <w:szCs w:val="22"/>
          <w:lang w:eastAsia="en-US"/>
        </w:rPr>
        <w:t>R</w:t>
      </w:r>
      <w:r w:rsidR="00CB0793" w:rsidRPr="00CB0793">
        <w:rPr>
          <w:rFonts w:eastAsia="Calibri" w:cs="Arial"/>
          <w:szCs w:val="22"/>
          <w:lang w:eastAsia="en-US"/>
        </w:rPr>
        <w:t>ozdziale</w:t>
      </w:r>
      <w:r w:rsidRPr="00CB0793">
        <w:rPr>
          <w:rFonts w:eastAsia="Calibri" w:cs="Arial"/>
          <w:szCs w:val="22"/>
          <w:lang w:eastAsia="en-US"/>
        </w:rPr>
        <w:t xml:space="preserve"> II. PRZEDMIOT ZAMÓWIENIA</w:t>
      </w:r>
      <w:r w:rsidR="00CB0793" w:rsidRPr="00CB0793">
        <w:rPr>
          <w:rFonts w:eastAsia="Calibri" w:cs="Arial"/>
          <w:szCs w:val="22"/>
          <w:lang w:eastAsia="en-US"/>
        </w:rPr>
        <w:t xml:space="preserve"> pkt.2 poprzez dodanie zapisu:</w:t>
      </w:r>
    </w:p>
    <w:p w:rsidR="00CB0793" w:rsidRPr="00CB0793" w:rsidRDefault="00CB0793" w:rsidP="00CB0793">
      <w:pPr>
        <w:tabs>
          <w:tab w:val="left" w:pos="284"/>
        </w:tabs>
        <w:spacing w:line="23" w:lineRule="atLeast"/>
        <w:ind w:left="284"/>
        <w:rPr>
          <w:rFonts w:eastAsia="Calibri" w:cs="Arial"/>
          <w:b/>
          <w:szCs w:val="22"/>
          <w:lang w:eastAsia="en-US"/>
        </w:rPr>
      </w:pPr>
      <w:r w:rsidRPr="00CB0793">
        <w:rPr>
          <w:rFonts w:eastAsia="Calibri" w:cs="Arial"/>
          <w:b/>
          <w:szCs w:val="22"/>
          <w:lang w:eastAsia="en-US"/>
        </w:rPr>
        <w:t>BYŁO:</w:t>
      </w:r>
    </w:p>
    <w:p w:rsidR="00CB0793" w:rsidRPr="00CB0793" w:rsidRDefault="00CB0793" w:rsidP="00CB0793">
      <w:pPr>
        <w:tabs>
          <w:tab w:val="left" w:pos="284"/>
        </w:tabs>
        <w:spacing w:line="276" w:lineRule="auto"/>
        <w:ind w:left="284"/>
        <w:rPr>
          <w:rFonts w:eastAsia="Calibri" w:cs="Arial"/>
          <w:szCs w:val="22"/>
          <w:lang w:eastAsia="en-US"/>
        </w:rPr>
      </w:pPr>
      <w:r w:rsidRPr="00CB0793">
        <w:rPr>
          <w:rFonts w:cs="Arial"/>
          <w:sz w:val="24"/>
        </w:rPr>
        <w:t>Zamówienie obejmuje zaprojektowanie, dostarczenie oraz instalacja i uruchomienie Systemu Zarządzania Ruchem (SZR) w Świnoujściu, zwanego również jako System ITS. Zamówienie realizowane jest poprzez formułę „zaprojektuj i wybuduj”, zatem składa się z dwóch podstawowych etapów: etapu projektowania i etapu realizacyjnego. Początkowy etap projektowania uwzględnić ma w pełni, proponowa</w:t>
      </w:r>
      <w:r>
        <w:rPr>
          <w:rFonts w:cs="Arial"/>
          <w:sz w:val="24"/>
        </w:rPr>
        <w:t xml:space="preserve">ną przez Wykonawcę technologię, </w:t>
      </w:r>
      <w:r w:rsidRPr="00CB0793">
        <w:rPr>
          <w:rFonts w:cs="Arial"/>
          <w:sz w:val="24"/>
        </w:rPr>
        <w:t xml:space="preserve">w zakresie systemu ITS. W etapie realizacyjnym Wykonawca wykona wszelkie niezbędne dostawy i montaże urządzeń, wykona niezbędne instalacje i uruchomi system do wymaganej funkcjonalności. Zamówienie obejmuje również, wsparcie techniczne w okresie wdrożenia oraz asystę techniczną po okresie wdrożenia, a także przeszkolenie kadry Zamawiającego. </w:t>
      </w:r>
    </w:p>
    <w:p w:rsidR="00CB0793" w:rsidRPr="00686F57" w:rsidRDefault="00CB0793" w:rsidP="00686F57">
      <w:pPr>
        <w:spacing w:line="276" w:lineRule="auto"/>
        <w:contextualSpacing/>
        <w:jc w:val="both"/>
        <w:rPr>
          <w:rFonts w:cs="Arial"/>
          <w:sz w:val="24"/>
        </w:rPr>
      </w:pPr>
    </w:p>
    <w:p w:rsidR="00CB0793" w:rsidRPr="00CB0793" w:rsidRDefault="00CB0793" w:rsidP="00CB0793">
      <w:pPr>
        <w:tabs>
          <w:tab w:val="left" w:pos="284"/>
        </w:tabs>
        <w:spacing w:line="276" w:lineRule="auto"/>
        <w:ind w:left="284"/>
        <w:rPr>
          <w:rFonts w:eastAsia="Calibri" w:cs="Arial"/>
          <w:b/>
          <w:szCs w:val="22"/>
          <w:lang w:eastAsia="en-US"/>
        </w:rPr>
      </w:pPr>
      <w:r w:rsidRPr="00CB0793">
        <w:rPr>
          <w:rFonts w:eastAsia="Calibri" w:cs="Arial"/>
          <w:b/>
          <w:szCs w:val="22"/>
          <w:lang w:eastAsia="en-US"/>
        </w:rPr>
        <w:t>POWINNO BYĆ:</w:t>
      </w:r>
    </w:p>
    <w:p w:rsidR="00CB0793" w:rsidRDefault="00CB0793" w:rsidP="00686F57">
      <w:pPr>
        <w:tabs>
          <w:tab w:val="left" w:pos="284"/>
        </w:tabs>
        <w:spacing w:line="276" w:lineRule="auto"/>
        <w:ind w:left="284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 xml:space="preserve">Zamówienie obejmuje zaprojektowanie, dostarczenie oraz instalacja i uruchomienie Systemu Zarządzania Ruchem (SZR) w Świnoujściu, zwanego również jako System ITS. Zamówienie realizowane jest poprzez formułę „zaprojektuj i wybuduj”, zatem składa się z dwóch podstawowych etapów: etapu projektowania i etapu realizacyjnego. </w:t>
      </w:r>
      <w:r w:rsidRPr="00CB0793">
        <w:rPr>
          <w:rFonts w:eastAsia="Calibri" w:cs="Arial"/>
          <w:color w:val="FF0000"/>
          <w:szCs w:val="22"/>
          <w:lang w:eastAsia="en-US"/>
        </w:rPr>
        <w:t>Zamawiający</w:t>
      </w:r>
      <w:r w:rsidRPr="00CB0793">
        <w:rPr>
          <w:rFonts w:eastAsia="Calibri" w:cs="Arial"/>
          <w:color w:val="FF0000"/>
          <w:szCs w:val="22"/>
          <w:lang w:eastAsia="en-US"/>
        </w:rPr>
        <w:br/>
        <w:t xml:space="preserve">z zamówienia wyłącza zakup, dostawę i montaż biletomatów oraz autokomputerów. </w:t>
      </w:r>
      <w:r w:rsidRPr="00CB0793">
        <w:rPr>
          <w:rFonts w:eastAsia="Calibri" w:cs="Arial"/>
          <w:szCs w:val="22"/>
          <w:lang w:eastAsia="en-US"/>
        </w:rPr>
        <w:t xml:space="preserve">Początkowy etap projektowania uwzględnić ma w pełni, proponowaną przez Wykonawcę technologię,  w zakresie systemu ITS. W etapie realizacyjnym Wykonawca wykona wszelkie niezbędne dostawy i montaże urządzeń, wykona niezbędne instalacje i uruchomi system do wymaganej funkcjonalności. Zamówienie obejmuje również, wsparcie </w:t>
      </w:r>
      <w:r w:rsidRPr="00CB0793">
        <w:rPr>
          <w:rFonts w:eastAsia="Calibri" w:cs="Arial"/>
          <w:szCs w:val="22"/>
          <w:lang w:eastAsia="en-US"/>
        </w:rPr>
        <w:lastRenderedPageBreak/>
        <w:t>techniczne w okresie wdrożenia oraz asystę techniczną po okresie wdrożenia, a także przeszkolenie kadry Zamawiającego.</w:t>
      </w:r>
    </w:p>
    <w:p w:rsidR="008F1449" w:rsidRPr="00CB0793" w:rsidRDefault="008F1449" w:rsidP="008F1449">
      <w:pPr>
        <w:tabs>
          <w:tab w:val="left" w:pos="284"/>
        </w:tabs>
        <w:spacing w:line="276" w:lineRule="auto"/>
        <w:rPr>
          <w:rFonts w:eastAsia="Calibri" w:cs="Arial"/>
          <w:szCs w:val="22"/>
          <w:lang w:eastAsia="en-US"/>
        </w:rPr>
      </w:pPr>
    </w:p>
    <w:p w:rsidR="00741337" w:rsidRPr="00741337" w:rsidRDefault="00741337" w:rsidP="00741337">
      <w:pPr>
        <w:numPr>
          <w:ilvl w:val="0"/>
          <w:numId w:val="11"/>
        </w:numPr>
        <w:tabs>
          <w:tab w:val="left" w:pos="284"/>
        </w:tabs>
        <w:spacing w:line="23" w:lineRule="atLeast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Zamawiający uzupełnia brakujący załącznik: </w:t>
      </w:r>
      <w:r w:rsidRPr="00741337">
        <w:rPr>
          <w:rFonts w:eastAsia="Calibri" w:cs="Arial"/>
          <w:szCs w:val="22"/>
          <w:lang w:eastAsia="en-US"/>
        </w:rPr>
        <w:t>zal_6_6_Karta gwrancyjna</w:t>
      </w:r>
      <w:r>
        <w:rPr>
          <w:rFonts w:eastAsia="Calibri" w:cs="Arial"/>
          <w:szCs w:val="22"/>
          <w:lang w:eastAsia="en-US"/>
        </w:rPr>
        <w:t>.</w:t>
      </w:r>
      <w:bookmarkStart w:id="0" w:name="_GoBack"/>
      <w:bookmarkEnd w:id="0"/>
    </w:p>
    <w:p w:rsidR="00055D86" w:rsidRPr="00CB0793" w:rsidRDefault="00055D86" w:rsidP="00CB0793">
      <w:pPr>
        <w:numPr>
          <w:ilvl w:val="0"/>
          <w:numId w:val="11"/>
        </w:numPr>
        <w:tabs>
          <w:tab w:val="left" w:pos="284"/>
        </w:tabs>
        <w:spacing w:line="23" w:lineRule="atLeast"/>
        <w:ind w:left="284" w:hanging="284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>Pozostałe zapisy SWZ nr BZP.271.1.</w:t>
      </w:r>
      <w:r w:rsidR="00B02620" w:rsidRPr="00CB0793">
        <w:rPr>
          <w:rFonts w:eastAsia="Calibri" w:cs="Arial"/>
          <w:szCs w:val="22"/>
          <w:lang w:eastAsia="en-US"/>
        </w:rPr>
        <w:t>1</w:t>
      </w:r>
      <w:r w:rsidR="008923C1" w:rsidRPr="00CB0793">
        <w:rPr>
          <w:rFonts w:eastAsia="Calibri" w:cs="Arial"/>
          <w:szCs w:val="22"/>
          <w:lang w:eastAsia="en-US"/>
        </w:rPr>
        <w:t>7</w:t>
      </w:r>
      <w:r w:rsidRPr="00CB0793">
        <w:rPr>
          <w:rFonts w:eastAsia="Calibri" w:cs="Arial"/>
          <w:szCs w:val="22"/>
          <w:lang w:eastAsia="en-US"/>
        </w:rPr>
        <w:t>.202</w:t>
      </w:r>
      <w:r w:rsidR="00B02620" w:rsidRPr="00CB0793">
        <w:rPr>
          <w:rFonts w:eastAsia="Calibri" w:cs="Arial"/>
          <w:szCs w:val="22"/>
          <w:lang w:eastAsia="en-US"/>
        </w:rPr>
        <w:t>2</w:t>
      </w:r>
      <w:r w:rsidRPr="00CB0793">
        <w:rPr>
          <w:rFonts w:eastAsia="Calibri" w:cs="Arial"/>
          <w:szCs w:val="22"/>
          <w:lang w:eastAsia="en-US"/>
        </w:rPr>
        <w:t xml:space="preserve"> pozostają bez zmian.</w:t>
      </w:r>
    </w:p>
    <w:p w:rsidR="00055D86" w:rsidRPr="00CB0793" w:rsidRDefault="00055D86" w:rsidP="00CB0793">
      <w:pPr>
        <w:numPr>
          <w:ilvl w:val="0"/>
          <w:numId w:val="11"/>
        </w:numPr>
        <w:tabs>
          <w:tab w:val="left" w:pos="284"/>
        </w:tabs>
        <w:spacing w:line="23" w:lineRule="atLeast"/>
        <w:ind w:left="284" w:hanging="284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>Przedmiotowe wyjaśnienia i zmiany:</w:t>
      </w:r>
    </w:p>
    <w:p w:rsidR="00055D86" w:rsidRPr="00CB0793" w:rsidRDefault="00055D86" w:rsidP="00CB0793">
      <w:pPr>
        <w:spacing w:line="23" w:lineRule="atLeast"/>
        <w:ind w:left="426" w:hanging="142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>-</w:t>
      </w:r>
      <w:r w:rsidRPr="00CB0793">
        <w:rPr>
          <w:rFonts w:eastAsia="Calibri" w:cs="Arial"/>
          <w:szCs w:val="22"/>
          <w:lang w:eastAsia="en-US"/>
        </w:rPr>
        <w:tab/>
        <w:t>należy uwzględnić przy sporządzaniu oferty i załączników,</w:t>
      </w:r>
    </w:p>
    <w:p w:rsidR="00C12859" w:rsidRPr="00CB0793" w:rsidRDefault="00055D86" w:rsidP="00686F57">
      <w:pPr>
        <w:spacing w:line="23" w:lineRule="atLeast"/>
        <w:ind w:left="426" w:hanging="142"/>
        <w:rPr>
          <w:rFonts w:eastAsia="Calibri" w:cs="Arial"/>
          <w:szCs w:val="22"/>
          <w:lang w:eastAsia="en-US"/>
        </w:rPr>
      </w:pPr>
      <w:r w:rsidRPr="00CB0793">
        <w:rPr>
          <w:rFonts w:eastAsia="Calibri" w:cs="Arial"/>
          <w:szCs w:val="22"/>
          <w:lang w:eastAsia="en-US"/>
        </w:rPr>
        <w:t>-</w:t>
      </w:r>
      <w:r w:rsidRPr="00CB0793">
        <w:rPr>
          <w:rFonts w:eastAsia="Calibri" w:cs="Arial"/>
          <w:szCs w:val="22"/>
          <w:lang w:eastAsia="en-US"/>
        </w:rPr>
        <w:tab/>
        <w:t>prowadzą do zmiany ogłoszenia.</w:t>
      </w:r>
    </w:p>
    <w:sectPr w:rsidR="00C12859" w:rsidRPr="00CB0793" w:rsidSect="00686F57">
      <w:pgSz w:w="11906" w:h="16838"/>
      <w:pgMar w:top="1417" w:right="1417" w:bottom="1417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9C" w:rsidRDefault="00155A9C" w:rsidP="00261824">
      <w:r>
        <w:separator/>
      </w:r>
    </w:p>
  </w:endnote>
  <w:endnote w:type="continuationSeparator" w:id="0">
    <w:p w:rsidR="00155A9C" w:rsidRDefault="00155A9C" w:rsidP="002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9C" w:rsidRDefault="00155A9C" w:rsidP="00261824">
      <w:r>
        <w:separator/>
      </w:r>
    </w:p>
  </w:footnote>
  <w:footnote w:type="continuationSeparator" w:id="0">
    <w:p w:rsidR="00155A9C" w:rsidRDefault="00155A9C" w:rsidP="0026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DBA"/>
    <w:multiLevelType w:val="multilevel"/>
    <w:tmpl w:val="D9702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FE478B"/>
    <w:multiLevelType w:val="hybridMultilevel"/>
    <w:tmpl w:val="6BA63E9A"/>
    <w:lvl w:ilvl="0" w:tplc="D7EAA9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723C62"/>
    <w:multiLevelType w:val="hybridMultilevel"/>
    <w:tmpl w:val="A50E9826"/>
    <w:lvl w:ilvl="0" w:tplc="B3E279A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43BEA"/>
    <w:multiLevelType w:val="multilevel"/>
    <w:tmpl w:val="184ED3CA"/>
    <w:lvl w:ilvl="0">
      <w:start w:val="1"/>
      <w:numFmt w:val="lowerRoman"/>
      <w:lvlText w:val="(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AD7540F"/>
    <w:multiLevelType w:val="hybridMultilevel"/>
    <w:tmpl w:val="07A0FB4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0215949"/>
    <w:multiLevelType w:val="hybridMultilevel"/>
    <w:tmpl w:val="F53EDA28"/>
    <w:lvl w:ilvl="0" w:tplc="AED0EECA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03FA1"/>
    <w:multiLevelType w:val="hybridMultilevel"/>
    <w:tmpl w:val="A08EF2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F7A0E45"/>
    <w:multiLevelType w:val="hybridMultilevel"/>
    <w:tmpl w:val="13BC66B4"/>
    <w:lvl w:ilvl="0" w:tplc="15965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1F84"/>
    <w:multiLevelType w:val="multilevel"/>
    <w:tmpl w:val="D9702154"/>
    <w:numStyleLink w:val="Styl12"/>
  </w:abstractNum>
  <w:abstractNum w:abstractNumId="9" w15:restartNumberingAfterBreak="0">
    <w:nsid w:val="62EF474D"/>
    <w:multiLevelType w:val="hybridMultilevel"/>
    <w:tmpl w:val="500077E0"/>
    <w:lvl w:ilvl="0" w:tplc="80BC4346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28F3"/>
    <w:multiLevelType w:val="hybridMultilevel"/>
    <w:tmpl w:val="9DB4A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441AD"/>
    <w:multiLevelType w:val="hybridMultilevel"/>
    <w:tmpl w:val="9C7A7912"/>
    <w:lvl w:ilvl="0" w:tplc="90C69F0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67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3A67E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403A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CEE3F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C347D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CCA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2AF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988F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443312"/>
    <w:multiLevelType w:val="hybridMultilevel"/>
    <w:tmpl w:val="F6C8083E"/>
    <w:lvl w:ilvl="0" w:tplc="5888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E75404E"/>
    <w:multiLevelType w:val="hybridMultilevel"/>
    <w:tmpl w:val="EF0054C8"/>
    <w:lvl w:ilvl="0" w:tplc="ACC473B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4"/>
    <w:rsid w:val="000169C2"/>
    <w:rsid w:val="00055D86"/>
    <w:rsid w:val="00095293"/>
    <w:rsid w:val="000A4DD9"/>
    <w:rsid w:val="000E67FA"/>
    <w:rsid w:val="00102DA6"/>
    <w:rsid w:val="00155A9C"/>
    <w:rsid w:val="001660AF"/>
    <w:rsid w:val="00192BDD"/>
    <w:rsid w:val="00196E68"/>
    <w:rsid w:val="001D56BD"/>
    <w:rsid w:val="00203A2C"/>
    <w:rsid w:val="00250490"/>
    <w:rsid w:val="002548DB"/>
    <w:rsid w:val="00261824"/>
    <w:rsid w:val="002765AE"/>
    <w:rsid w:val="002A7993"/>
    <w:rsid w:val="002E6AAC"/>
    <w:rsid w:val="002E7617"/>
    <w:rsid w:val="00300BA8"/>
    <w:rsid w:val="003036D7"/>
    <w:rsid w:val="003377EE"/>
    <w:rsid w:val="003421FB"/>
    <w:rsid w:val="00342E04"/>
    <w:rsid w:val="0038533B"/>
    <w:rsid w:val="003C22A7"/>
    <w:rsid w:val="003E0054"/>
    <w:rsid w:val="003E6866"/>
    <w:rsid w:val="0042048E"/>
    <w:rsid w:val="004E6B26"/>
    <w:rsid w:val="004F38B4"/>
    <w:rsid w:val="00511CD7"/>
    <w:rsid w:val="00552A40"/>
    <w:rsid w:val="005777A3"/>
    <w:rsid w:val="005C046D"/>
    <w:rsid w:val="005D343F"/>
    <w:rsid w:val="005D687D"/>
    <w:rsid w:val="005D6BC8"/>
    <w:rsid w:val="005F21DA"/>
    <w:rsid w:val="0061124D"/>
    <w:rsid w:val="0064177D"/>
    <w:rsid w:val="00660FA2"/>
    <w:rsid w:val="00686F57"/>
    <w:rsid w:val="0069288D"/>
    <w:rsid w:val="006B01ED"/>
    <w:rsid w:val="006F742A"/>
    <w:rsid w:val="00741337"/>
    <w:rsid w:val="007476D4"/>
    <w:rsid w:val="00751CC9"/>
    <w:rsid w:val="0075207C"/>
    <w:rsid w:val="00766C7A"/>
    <w:rsid w:val="0077611E"/>
    <w:rsid w:val="00796D5A"/>
    <w:rsid w:val="007D71E8"/>
    <w:rsid w:val="007E00AF"/>
    <w:rsid w:val="007E6DD7"/>
    <w:rsid w:val="00804E87"/>
    <w:rsid w:val="00821AE7"/>
    <w:rsid w:val="008229DA"/>
    <w:rsid w:val="00871198"/>
    <w:rsid w:val="008923C1"/>
    <w:rsid w:val="00892B4F"/>
    <w:rsid w:val="008C0188"/>
    <w:rsid w:val="008F1449"/>
    <w:rsid w:val="00911FFE"/>
    <w:rsid w:val="00921BD8"/>
    <w:rsid w:val="00926ADE"/>
    <w:rsid w:val="0094346E"/>
    <w:rsid w:val="00943DAB"/>
    <w:rsid w:val="00945B76"/>
    <w:rsid w:val="00950EF7"/>
    <w:rsid w:val="009543E3"/>
    <w:rsid w:val="009649BC"/>
    <w:rsid w:val="009A35CF"/>
    <w:rsid w:val="009C5AE7"/>
    <w:rsid w:val="00A0074D"/>
    <w:rsid w:val="00A663F1"/>
    <w:rsid w:val="00AA4189"/>
    <w:rsid w:val="00AE7A35"/>
    <w:rsid w:val="00AF062A"/>
    <w:rsid w:val="00B02620"/>
    <w:rsid w:val="00B52886"/>
    <w:rsid w:val="00B54DE7"/>
    <w:rsid w:val="00BE7843"/>
    <w:rsid w:val="00C04F85"/>
    <w:rsid w:val="00C12859"/>
    <w:rsid w:val="00C26C0F"/>
    <w:rsid w:val="00C640B1"/>
    <w:rsid w:val="00C6618D"/>
    <w:rsid w:val="00C80A46"/>
    <w:rsid w:val="00C91AD5"/>
    <w:rsid w:val="00C932EC"/>
    <w:rsid w:val="00CA13F5"/>
    <w:rsid w:val="00CB0793"/>
    <w:rsid w:val="00CB4FDF"/>
    <w:rsid w:val="00D6357E"/>
    <w:rsid w:val="00D703BD"/>
    <w:rsid w:val="00D92802"/>
    <w:rsid w:val="00DB7336"/>
    <w:rsid w:val="00DC0C63"/>
    <w:rsid w:val="00E2259C"/>
    <w:rsid w:val="00E33EFE"/>
    <w:rsid w:val="00E402CD"/>
    <w:rsid w:val="00E46D52"/>
    <w:rsid w:val="00E70DCA"/>
    <w:rsid w:val="00E718F0"/>
    <w:rsid w:val="00E76DA4"/>
    <w:rsid w:val="00E87C3C"/>
    <w:rsid w:val="00F145A0"/>
    <w:rsid w:val="00F228EB"/>
    <w:rsid w:val="00F70EB3"/>
    <w:rsid w:val="00F87375"/>
    <w:rsid w:val="00F87470"/>
    <w:rsid w:val="00F93D31"/>
    <w:rsid w:val="00F9641C"/>
    <w:rsid w:val="00F97484"/>
    <w:rsid w:val="00FD5933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79E32E"/>
  <w15:chartTrackingRefBased/>
  <w15:docId w15:val="{7E23CDCE-FF09-4DCB-8BF2-21D9347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FA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1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824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rsid w:val="00261824"/>
    <w:rPr>
      <w:color w:val="0000FF"/>
      <w:u w:val="single"/>
    </w:rPr>
  </w:style>
  <w:style w:type="paragraph" w:styleId="Akapitzlist">
    <w:name w:val="List Paragraph"/>
    <w:aliases w:val="Podsis rysunku,Akapit z listą numerowaną,normalny tekst,CW_Lista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261824"/>
    <w:pPr>
      <w:ind w:left="708"/>
    </w:pPr>
  </w:style>
  <w:style w:type="character" w:customStyle="1" w:styleId="AkapitzlistZnak">
    <w:name w:val="Akapit z listą Znak"/>
    <w:aliases w:val="Podsis rysunku Znak,Akapit z listą numerowaną Znak,normalny tekst Znak,CW_Lista Znak,Preambuła Znak,L1 Znak,Numerowanie Znak,2 heading Znak,A_wyliczenie Znak,K-P_odwolanie Znak,Akapit z listą5 Znak,maz_wyliczenie Znak,Normal Znak"/>
    <w:link w:val="Akapitzlist"/>
    <w:uiPriority w:val="34"/>
    <w:rsid w:val="00261824"/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824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D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Styl12">
    <w:name w:val="Styl12"/>
    <w:uiPriority w:val="99"/>
    <w:rsid w:val="00CB079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Śmigielska Anna</dc:creator>
  <cp:keywords/>
  <dc:description/>
  <cp:lastModifiedBy>Poronis Anna</cp:lastModifiedBy>
  <cp:revision>7</cp:revision>
  <cp:lastPrinted>2022-05-20T05:40:00Z</cp:lastPrinted>
  <dcterms:created xsi:type="dcterms:W3CDTF">2022-05-17T10:02:00Z</dcterms:created>
  <dcterms:modified xsi:type="dcterms:W3CDTF">2022-05-20T07:18:00Z</dcterms:modified>
</cp:coreProperties>
</file>