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99053" w14:textId="77777777" w:rsidR="00C75EF1" w:rsidRPr="00072FF4" w:rsidRDefault="00C75EF1" w:rsidP="00C75EF1">
      <w:pPr>
        <w:pStyle w:val="Tematkomentarza"/>
        <w:tabs>
          <w:tab w:val="left" w:pos="6237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Hlk143776318"/>
      <w:r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>Znak pisma:</w:t>
      </w:r>
    </w:p>
    <w:p w14:paraId="6BEC3E13" w14:textId="239DA5AA" w:rsidR="00C75EF1" w:rsidRPr="00072FF4" w:rsidRDefault="00C75EF1" w:rsidP="00C75EF1">
      <w:pPr>
        <w:pStyle w:val="Tematkomentarza"/>
        <w:tabs>
          <w:tab w:val="left" w:pos="6096"/>
        </w:tabs>
        <w:spacing w:line="276" w:lineRule="auto"/>
        <w:rPr>
          <w:rFonts w:ascii="Calibri" w:hAnsi="Calibri" w:cs="Calibri"/>
          <w:b w:val="0"/>
          <w:sz w:val="24"/>
          <w:szCs w:val="24"/>
        </w:rPr>
      </w:pPr>
      <w:r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>DO.WAL.261.ZP.13.23.EJ1</w:t>
      </w:r>
      <w:r w:rsidR="00072FF4"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>Z</w:t>
      </w:r>
      <w:r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>.2023</w:t>
      </w:r>
      <w:r w:rsidRPr="00072FF4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Pr="00072FF4">
        <w:rPr>
          <w:rFonts w:ascii="Calibri" w:hAnsi="Calibri" w:cs="Calibri"/>
          <w:b w:val="0"/>
          <w:sz w:val="24"/>
          <w:szCs w:val="24"/>
        </w:rPr>
        <w:t xml:space="preserve">Warszawa, dnia </w:t>
      </w:r>
      <w:r w:rsidR="00072FF4" w:rsidRPr="00072FF4">
        <w:rPr>
          <w:rFonts w:ascii="Calibri" w:hAnsi="Calibri" w:cs="Calibri"/>
          <w:b w:val="0"/>
          <w:sz w:val="24"/>
          <w:szCs w:val="24"/>
        </w:rPr>
        <w:t>25</w:t>
      </w:r>
      <w:r w:rsidRPr="00072FF4">
        <w:rPr>
          <w:rFonts w:ascii="Calibri" w:hAnsi="Calibri" w:cs="Calibri"/>
          <w:b w:val="0"/>
          <w:sz w:val="24"/>
          <w:szCs w:val="24"/>
        </w:rPr>
        <w:t>.08.2023 r.</w:t>
      </w:r>
    </w:p>
    <w:p w14:paraId="3217A2E2" w14:textId="77777777" w:rsidR="00C75EF1" w:rsidRPr="00072FF4" w:rsidRDefault="00C75EF1" w:rsidP="001000AA">
      <w:pPr>
        <w:spacing w:before="600" w:after="360"/>
        <w:ind w:left="5432" w:firstLine="96"/>
        <w:rPr>
          <w:rFonts w:cs="Calibri"/>
          <w:b/>
          <w:noProof/>
          <w:sz w:val="28"/>
          <w:szCs w:val="28"/>
        </w:rPr>
      </w:pPr>
      <w:bookmarkStart w:id="1" w:name="_GoBack"/>
      <w:r w:rsidRPr="00072FF4">
        <w:rPr>
          <w:rFonts w:cs="Calibri"/>
          <w:b/>
          <w:noProof/>
          <w:sz w:val="28"/>
          <w:szCs w:val="28"/>
        </w:rPr>
        <w:t>Wszyscy Wykonawcy</w:t>
      </w:r>
    </w:p>
    <w:bookmarkEnd w:id="0"/>
    <w:bookmarkEnd w:id="1"/>
    <w:p w14:paraId="4FD095E9" w14:textId="3F01D988" w:rsidR="00C75EF1" w:rsidRPr="00072FF4" w:rsidRDefault="00C75EF1" w:rsidP="00C75EF1">
      <w:pPr>
        <w:spacing w:before="240"/>
        <w:ind w:left="851" w:hanging="851"/>
        <w:rPr>
          <w:rFonts w:cs="Calibri"/>
          <w:bCs/>
          <w:noProof/>
          <w:sz w:val="24"/>
          <w:szCs w:val="24"/>
        </w:rPr>
      </w:pPr>
      <w:r w:rsidRPr="00072FF4">
        <w:rPr>
          <w:rFonts w:cs="Calibri"/>
          <w:bCs/>
          <w:noProof/>
          <w:sz w:val="24"/>
          <w:szCs w:val="24"/>
        </w:rPr>
        <w:t>dotyczy: postępowania na usługi „Asysty technicznej i konserwacji, modyfikacji i rozwoju systemu e-PFRON2” – numer sprawy ZP/13/23.</w:t>
      </w:r>
    </w:p>
    <w:p w14:paraId="3477A52F" w14:textId="77777777" w:rsidR="001000AA" w:rsidRPr="00072FF4" w:rsidRDefault="001000AA" w:rsidP="001000AA">
      <w:pPr>
        <w:spacing w:before="240"/>
        <w:rPr>
          <w:rStyle w:val="Mocnowyrniony"/>
          <w:sz w:val="24"/>
          <w:szCs w:val="24"/>
        </w:rPr>
      </w:pPr>
      <w:r w:rsidRPr="00072FF4">
        <w:rPr>
          <w:rStyle w:val="Mocnowyrniony"/>
          <w:sz w:val="24"/>
          <w:szCs w:val="24"/>
        </w:rPr>
        <w:t>ZMIANA TREŚCI SPECYFIKACJI WARUNKÓW ZAMÓWIENIA</w:t>
      </w:r>
    </w:p>
    <w:p w14:paraId="6D08D23E" w14:textId="43392EAC" w:rsidR="001000AA" w:rsidRPr="00072FF4" w:rsidRDefault="001000AA" w:rsidP="001000AA">
      <w:pPr>
        <w:rPr>
          <w:rStyle w:val="Mocnowyrniony"/>
          <w:b w:val="0"/>
          <w:bCs w:val="0"/>
          <w:sz w:val="24"/>
          <w:szCs w:val="24"/>
        </w:rPr>
      </w:pPr>
      <w:r w:rsidRPr="00072FF4">
        <w:rPr>
          <w:rStyle w:val="Mocnowyrniony"/>
          <w:b w:val="0"/>
          <w:bCs w:val="0"/>
          <w:sz w:val="24"/>
          <w:szCs w:val="24"/>
        </w:rPr>
        <w:t>Zamawiający zgodnie z art. 137 ust. 1 ustawy Prawo zamówień publicznych (Dz. U. z 2023 r., poz. 1605) zwanej dalej ustawą Pzp, dokonał następujących zmian w treści Specyfikacji Warunków Zamówienia</w:t>
      </w:r>
      <w:r w:rsidR="00072FF4" w:rsidRPr="00072FF4">
        <w:rPr>
          <w:rStyle w:val="Mocnowyrniony"/>
          <w:b w:val="0"/>
          <w:bCs w:val="0"/>
          <w:sz w:val="24"/>
          <w:szCs w:val="24"/>
        </w:rPr>
        <w:t xml:space="preserve">, zwanej dalej </w:t>
      </w:r>
      <w:r w:rsidRPr="00072FF4">
        <w:rPr>
          <w:rStyle w:val="Mocnowyrniony"/>
          <w:b w:val="0"/>
          <w:bCs w:val="0"/>
          <w:sz w:val="24"/>
          <w:szCs w:val="24"/>
        </w:rPr>
        <w:t>SWZ:</w:t>
      </w:r>
    </w:p>
    <w:p w14:paraId="06768106" w14:textId="77777777" w:rsidR="001000AA" w:rsidRPr="00072FF4" w:rsidRDefault="001000AA" w:rsidP="001000AA">
      <w:pPr>
        <w:numPr>
          <w:ilvl w:val="0"/>
          <w:numId w:val="21"/>
        </w:numPr>
        <w:spacing w:after="11"/>
        <w:ind w:left="284" w:hanging="295"/>
        <w:rPr>
          <w:rStyle w:val="Mocnowyrniony"/>
          <w:b w:val="0"/>
          <w:bCs w:val="0"/>
          <w:sz w:val="24"/>
          <w:szCs w:val="24"/>
        </w:rPr>
      </w:pPr>
      <w:bookmarkStart w:id="2" w:name="_Hlk75516811"/>
      <w:bookmarkStart w:id="3" w:name="_Hlk76126154"/>
      <w:r w:rsidRPr="00072FF4">
        <w:rPr>
          <w:rStyle w:val="Mocnowyrniony"/>
          <w:b w:val="0"/>
          <w:bCs w:val="0"/>
          <w:sz w:val="24"/>
          <w:szCs w:val="24"/>
        </w:rPr>
        <w:t xml:space="preserve">Rozdział </w:t>
      </w:r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 xml:space="preserve">VI. </w:t>
      </w:r>
      <w:r w:rsidRPr="00072FF4">
        <w:rPr>
          <w:rFonts w:cs="Calibri"/>
          <w:sz w:val="24"/>
          <w:szCs w:val="24"/>
        </w:rPr>
        <w:t xml:space="preserve">Warunki udziału Wykonawców w postępowaniu oraz opis sposobu dokonywania oceny ich spełniania, </w:t>
      </w:r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>pkt 2.2.4.:</w:t>
      </w:r>
    </w:p>
    <w:p w14:paraId="0B407742" w14:textId="77777777" w:rsidR="001000AA" w:rsidRPr="00072FF4" w:rsidRDefault="001000AA" w:rsidP="001000AA">
      <w:pPr>
        <w:numPr>
          <w:ilvl w:val="1"/>
          <w:numId w:val="21"/>
        </w:numPr>
        <w:spacing w:after="11"/>
        <w:ind w:left="709"/>
        <w:rPr>
          <w:rStyle w:val="Mocnowyrniony"/>
          <w:b w:val="0"/>
          <w:bCs w:val="0"/>
          <w:sz w:val="24"/>
          <w:szCs w:val="24"/>
        </w:rPr>
      </w:pPr>
      <w:r w:rsidRPr="00072FF4">
        <w:rPr>
          <w:rStyle w:val="Mocnowyrniony"/>
          <w:b w:val="0"/>
          <w:bCs w:val="0"/>
          <w:sz w:val="24"/>
          <w:szCs w:val="24"/>
        </w:rPr>
        <w:t>znak i SWZ otrzymuje brzmienie:</w:t>
      </w:r>
    </w:p>
    <w:p w14:paraId="432BDBAB" w14:textId="77777777" w:rsidR="001000AA" w:rsidRPr="00072FF4" w:rsidRDefault="001000AA" w:rsidP="001000AA">
      <w:pPr>
        <w:spacing w:after="11"/>
        <w:ind w:left="1134" w:hanging="425"/>
        <w:rPr>
          <w:rStyle w:val="Mocnowyrniony"/>
          <w:b w:val="0"/>
          <w:bCs w:val="0"/>
          <w:sz w:val="24"/>
          <w:szCs w:val="24"/>
        </w:rPr>
      </w:pPr>
      <w:r w:rsidRPr="00072FF4">
        <w:rPr>
          <w:rStyle w:val="Mocnowyrniony"/>
          <w:b w:val="0"/>
          <w:bCs w:val="0"/>
          <w:sz w:val="24"/>
          <w:szCs w:val="24"/>
        </w:rPr>
        <w:t>„i.</w:t>
      </w:r>
      <w:r w:rsidRPr="00072FF4">
        <w:rPr>
          <w:rStyle w:val="Mocnowyrniony"/>
          <w:b w:val="0"/>
          <w:bCs w:val="0"/>
          <w:sz w:val="24"/>
          <w:szCs w:val="24"/>
        </w:rPr>
        <w:tab/>
        <w:t>Przez system informatyczny, o którym mowa w niniejszym warunku, Zamawiający rozumie system informatyczny:</w:t>
      </w:r>
    </w:p>
    <w:p w14:paraId="04970DE9" w14:textId="77777777" w:rsidR="001000AA" w:rsidRPr="00072FF4" w:rsidRDefault="001000AA" w:rsidP="001000AA">
      <w:pPr>
        <w:spacing w:after="11"/>
        <w:ind w:left="1701" w:hanging="567"/>
        <w:rPr>
          <w:rStyle w:val="Mocnowyrniony"/>
          <w:b w:val="0"/>
          <w:bCs w:val="0"/>
          <w:sz w:val="24"/>
          <w:szCs w:val="24"/>
        </w:rPr>
      </w:pPr>
      <w:r w:rsidRPr="00072FF4">
        <w:rPr>
          <w:rStyle w:val="Mocnowyrniony"/>
          <w:b w:val="0"/>
          <w:bCs w:val="0"/>
          <w:sz w:val="24"/>
          <w:szCs w:val="24"/>
        </w:rPr>
        <w:t>a)</w:t>
      </w:r>
      <w:r w:rsidRPr="00072FF4">
        <w:rPr>
          <w:rStyle w:val="Mocnowyrniony"/>
          <w:b w:val="0"/>
          <w:bCs w:val="0"/>
          <w:sz w:val="24"/>
          <w:szCs w:val="24"/>
        </w:rPr>
        <w:tab/>
        <w:t>z którego korzysta co najmniej 200 użytkowników;</w:t>
      </w:r>
    </w:p>
    <w:p w14:paraId="31FD4E81" w14:textId="77777777" w:rsidR="001000AA" w:rsidRPr="00072FF4" w:rsidRDefault="001000AA" w:rsidP="001000AA">
      <w:pPr>
        <w:spacing w:after="11"/>
        <w:ind w:left="1701" w:hanging="567"/>
        <w:rPr>
          <w:rStyle w:val="Mocnowyrniony"/>
          <w:b w:val="0"/>
          <w:bCs w:val="0"/>
          <w:sz w:val="24"/>
          <w:szCs w:val="24"/>
        </w:rPr>
      </w:pPr>
      <w:r w:rsidRPr="00072FF4">
        <w:rPr>
          <w:rStyle w:val="Mocnowyrniony"/>
          <w:b w:val="0"/>
          <w:bCs w:val="0"/>
          <w:sz w:val="24"/>
          <w:szCs w:val="24"/>
        </w:rPr>
        <w:t>b)</w:t>
      </w:r>
      <w:r w:rsidRPr="00072FF4">
        <w:rPr>
          <w:rStyle w:val="Mocnowyrniony"/>
          <w:b w:val="0"/>
          <w:bCs w:val="0"/>
          <w:sz w:val="24"/>
          <w:szCs w:val="24"/>
        </w:rPr>
        <w:tab/>
        <w:t>który obsługuje wymianę danych z co najmniej 2 innymi systemami;</w:t>
      </w:r>
    </w:p>
    <w:p w14:paraId="5DB980CE" w14:textId="77777777" w:rsidR="001000AA" w:rsidRPr="00072FF4" w:rsidRDefault="001000AA" w:rsidP="001000AA">
      <w:pPr>
        <w:spacing w:after="11"/>
        <w:ind w:left="1701" w:hanging="567"/>
        <w:rPr>
          <w:rStyle w:val="Mocnowyrniony"/>
          <w:b w:val="0"/>
          <w:bCs w:val="0"/>
          <w:sz w:val="24"/>
          <w:szCs w:val="24"/>
        </w:rPr>
      </w:pPr>
      <w:r w:rsidRPr="00072FF4">
        <w:rPr>
          <w:rStyle w:val="Mocnowyrniony"/>
          <w:b w:val="0"/>
          <w:bCs w:val="0"/>
          <w:sz w:val="24"/>
          <w:szCs w:val="24"/>
        </w:rPr>
        <w:t>c)</w:t>
      </w:r>
      <w:r w:rsidRPr="00072FF4">
        <w:rPr>
          <w:rStyle w:val="Mocnowyrniony"/>
          <w:b w:val="0"/>
          <w:bCs w:val="0"/>
          <w:sz w:val="24"/>
          <w:szCs w:val="24"/>
        </w:rPr>
        <w:tab/>
        <w:t>zapewniający wsparcie użytkownikom systemu;</w:t>
      </w:r>
    </w:p>
    <w:p w14:paraId="308F45CA" w14:textId="77777777" w:rsidR="001000AA" w:rsidRPr="00072FF4" w:rsidRDefault="001000AA" w:rsidP="001000AA">
      <w:pPr>
        <w:spacing w:after="11"/>
        <w:ind w:left="1701" w:hanging="567"/>
        <w:rPr>
          <w:rStyle w:val="Mocnowyrniony"/>
          <w:b w:val="0"/>
          <w:bCs w:val="0"/>
          <w:sz w:val="24"/>
          <w:szCs w:val="24"/>
        </w:rPr>
      </w:pPr>
      <w:r w:rsidRPr="00072FF4">
        <w:rPr>
          <w:rStyle w:val="Mocnowyrniony"/>
          <w:b w:val="0"/>
          <w:bCs w:val="0"/>
          <w:sz w:val="24"/>
          <w:szCs w:val="24"/>
        </w:rPr>
        <w:t>d)</w:t>
      </w:r>
      <w:r w:rsidRPr="00072FF4">
        <w:rPr>
          <w:rStyle w:val="Mocnowyrniony"/>
          <w:b w:val="0"/>
          <w:bCs w:val="0"/>
          <w:sz w:val="24"/>
          <w:szCs w:val="24"/>
        </w:rPr>
        <w:tab/>
        <w:t>przetwarzający dane osobowe.”,</w:t>
      </w:r>
    </w:p>
    <w:p w14:paraId="03751FE4" w14:textId="77777777" w:rsidR="001000AA" w:rsidRPr="00072FF4" w:rsidRDefault="001000AA" w:rsidP="001000AA">
      <w:pPr>
        <w:numPr>
          <w:ilvl w:val="1"/>
          <w:numId w:val="21"/>
        </w:numPr>
        <w:spacing w:after="11"/>
        <w:ind w:left="709"/>
        <w:rPr>
          <w:rStyle w:val="Mocnowyrniony"/>
          <w:b w:val="0"/>
          <w:bCs w:val="0"/>
          <w:sz w:val="24"/>
          <w:szCs w:val="24"/>
        </w:rPr>
      </w:pPr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>znak iii. SWZ otrzymuje brzmienie:</w:t>
      </w:r>
    </w:p>
    <w:p w14:paraId="3F552893" w14:textId="77777777" w:rsidR="001000AA" w:rsidRPr="00072FF4" w:rsidRDefault="001000AA" w:rsidP="001000AA">
      <w:pPr>
        <w:spacing w:after="11"/>
        <w:ind w:left="1134" w:hanging="425"/>
        <w:rPr>
          <w:rStyle w:val="Mocnowyrniony"/>
          <w:b w:val="0"/>
          <w:bCs w:val="0"/>
          <w:sz w:val="24"/>
          <w:szCs w:val="24"/>
        </w:rPr>
      </w:pPr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>„iii.</w:t>
      </w:r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ab/>
        <w:t xml:space="preserve">Przez jedną usługę Zamawiający rozumie usługę wykonaną na podstawie jednego kontraktu/jednej umowy. Zamawiający dopuszcza sytuację, w której Wykonawca w celu wykazania jednej usługi, o której mowa w pkt 2.2.4.1. i jednej usługi wskazanej w pkt 2.2.4.2 przedstawi jedną umowę/ kontrakt, pod warunkiem, że spełnia ona w całości warunek określony dla danej usługi w pkt 2.2.4.1. i pkt 2.2.4.2 powyżej (np. w ramach jednej umowy na rzecz jednego podmiotu Wykonawca zrealizował usługę </w:t>
      </w:r>
      <w:proofErr w:type="spellStart"/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>atik</w:t>
      </w:r>
      <w:proofErr w:type="spellEnd"/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>-u o wartości 500.000,00 zł brutto i rozwoju na kwotę 600.000,00 zł brutto);”,</w:t>
      </w:r>
    </w:p>
    <w:p w14:paraId="41025277" w14:textId="77777777" w:rsidR="001000AA" w:rsidRPr="00072FF4" w:rsidRDefault="001000AA" w:rsidP="001000AA">
      <w:pPr>
        <w:numPr>
          <w:ilvl w:val="1"/>
          <w:numId w:val="21"/>
        </w:numPr>
        <w:spacing w:after="11"/>
        <w:ind w:left="709"/>
        <w:rPr>
          <w:rStyle w:val="Mocnowyrniony"/>
          <w:b w:val="0"/>
          <w:bCs w:val="0"/>
          <w:sz w:val="24"/>
          <w:szCs w:val="24"/>
        </w:rPr>
      </w:pPr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>znak v. SWZ otrzymuje brzmienie:</w:t>
      </w:r>
    </w:p>
    <w:p w14:paraId="11226883" w14:textId="77777777" w:rsidR="001000AA" w:rsidRPr="00072FF4" w:rsidRDefault="001000AA" w:rsidP="001000AA">
      <w:pPr>
        <w:spacing w:after="11"/>
        <w:ind w:left="1134" w:hanging="425"/>
        <w:rPr>
          <w:rStyle w:val="Mocnowyrniony"/>
          <w:rFonts w:eastAsia="Calibri"/>
          <w:b w:val="0"/>
          <w:bCs w:val="0"/>
          <w:sz w:val="24"/>
          <w:szCs w:val="24"/>
        </w:rPr>
      </w:pPr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>„v.</w:t>
      </w:r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ab/>
        <w:t xml:space="preserve">W przypadku usług będących w trakcie wykonywania, wymagania odnośnie: zakresu i wartości (dla </w:t>
      </w:r>
      <w:proofErr w:type="spellStart"/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>ppkt</w:t>
      </w:r>
      <w:proofErr w:type="spellEnd"/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 xml:space="preserve">. 2.2.4.1 SWZ - co najmniej 12 miesięcy i </w:t>
      </w:r>
      <w:bookmarkStart w:id="4" w:name="_Hlk143782216"/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>500.000,00 zł brutto oraz dla </w:t>
      </w:r>
      <w:proofErr w:type="spellStart"/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>ppkt</w:t>
      </w:r>
      <w:proofErr w:type="spellEnd"/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>. 2.2.4.2 SWZ - co najmniej 600.000,00 zł brutto</w:t>
      </w:r>
      <w:bookmarkEnd w:id="4"/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t>) wymaganej usługi, dotyczą części kontraktu/umowy już zrealizowanego / zrealizowanej (tj. od dnia rozpoczęcia wykonywania usługi do upływu terminu składania ofert) i te parametry (tj. zakres i wartość) Wykonawca zobowiązany jest podać w wykazie usług;”.</w:t>
      </w:r>
      <w:bookmarkEnd w:id="2"/>
      <w:bookmarkEnd w:id="3"/>
    </w:p>
    <w:p w14:paraId="701035CA" w14:textId="77777777" w:rsidR="001000AA" w:rsidRPr="00072FF4" w:rsidRDefault="001000AA" w:rsidP="001000AA">
      <w:pPr>
        <w:numPr>
          <w:ilvl w:val="0"/>
          <w:numId w:val="21"/>
        </w:numPr>
        <w:spacing w:after="11"/>
        <w:ind w:left="284" w:hanging="295"/>
        <w:rPr>
          <w:rStyle w:val="Mocnowyrniony"/>
          <w:rFonts w:eastAsia="Calibri"/>
          <w:b w:val="0"/>
          <w:bCs w:val="0"/>
          <w:sz w:val="24"/>
          <w:szCs w:val="24"/>
        </w:rPr>
      </w:pPr>
      <w:r w:rsidRPr="00072FF4">
        <w:rPr>
          <w:rStyle w:val="Mocnowyrniony"/>
          <w:rFonts w:eastAsia="Calibri"/>
          <w:b w:val="0"/>
          <w:bCs w:val="0"/>
          <w:sz w:val="24"/>
          <w:szCs w:val="24"/>
        </w:rPr>
        <w:lastRenderedPageBreak/>
        <w:t>Rozdział X. Informacje o środkach komunikacji elektronicznej, przy użyciu których Zamawiający będzie komunikował się z Wykonawcami, oraz informacje o wymaganiach technicznych i organizacyjnych sporządzania, wysyłania i odbierania korespondencji elektronicznej, pkt 28 SWZ otrzymuje brzmienie:</w:t>
      </w:r>
    </w:p>
    <w:p w14:paraId="1D7091BF" w14:textId="149EE9E4" w:rsidR="00CB4758" w:rsidRPr="00072FF4" w:rsidRDefault="001000AA" w:rsidP="001000AA">
      <w:pPr>
        <w:suppressAutoHyphens/>
        <w:spacing w:after="0"/>
        <w:ind w:left="851" w:hanging="567"/>
        <w:rPr>
          <w:rFonts w:cs="Calibri"/>
          <w:sz w:val="24"/>
          <w:szCs w:val="24"/>
          <w:lang w:eastAsia="pl-PL"/>
        </w:rPr>
      </w:pPr>
      <w:r w:rsidRPr="00072FF4">
        <w:rPr>
          <w:rFonts w:cs="Calibri"/>
          <w:sz w:val="24"/>
          <w:szCs w:val="24"/>
          <w:lang w:eastAsia="pl-PL"/>
        </w:rPr>
        <w:t>„28.</w:t>
      </w:r>
      <w:r w:rsidRPr="00072FF4">
        <w:rPr>
          <w:rFonts w:cs="Calibri"/>
          <w:sz w:val="24"/>
          <w:szCs w:val="24"/>
          <w:lang w:eastAsia="pl-PL"/>
        </w:rPr>
        <w:tab/>
        <w:t>Osobą uprawnioną do kontaktu z Wykonawcami w zakresie przebiegu postępowania jest Pani Emilia Jabłonowska.”.</w:t>
      </w:r>
    </w:p>
    <w:p w14:paraId="2F7F9DFB" w14:textId="4DDC6AF8" w:rsidR="001000AA" w:rsidRPr="00072FF4" w:rsidRDefault="001000AA" w:rsidP="001000AA">
      <w:pPr>
        <w:suppressAutoHyphens/>
        <w:spacing w:after="0"/>
        <w:ind w:left="851" w:hanging="567"/>
        <w:rPr>
          <w:rFonts w:cs="Calibri"/>
          <w:sz w:val="24"/>
          <w:szCs w:val="24"/>
          <w:lang w:eastAsia="pl-PL"/>
        </w:rPr>
      </w:pPr>
    </w:p>
    <w:p w14:paraId="1BF2FB3C" w14:textId="539CF627" w:rsidR="001000AA" w:rsidRPr="00072FF4" w:rsidRDefault="001000AA" w:rsidP="001000AA">
      <w:pPr>
        <w:suppressAutoHyphens/>
        <w:spacing w:after="0"/>
        <w:ind w:left="851" w:hanging="567"/>
        <w:rPr>
          <w:rFonts w:cs="Calibri"/>
          <w:sz w:val="24"/>
          <w:szCs w:val="24"/>
          <w:lang w:eastAsia="pl-PL"/>
        </w:rPr>
      </w:pPr>
      <w:r w:rsidRPr="00072FF4">
        <w:rPr>
          <w:rFonts w:cs="Calibri"/>
          <w:sz w:val="24"/>
          <w:szCs w:val="24"/>
          <w:lang w:eastAsia="pl-PL"/>
        </w:rPr>
        <w:t>Pozostałe zapisy SWZ nie ulegają zmianie.</w:t>
      </w:r>
    </w:p>
    <w:sectPr w:rsidR="001000AA" w:rsidRPr="00072FF4" w:rsidSect="001000A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1134" w:footer="125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59BB9" w14:textId="77777777" w:rsidR="00B05137" w:rsidRDefault="00B05137">
      <w:pPr>
        <w:spacing w:after="0" w:line="240" w:lineRule="auto"/>
      </w:pPr>
      <w:r>
        <w:separator/>
      </w:r>
    </w:p>
  </w:endnote>
  <w:endnote w:type="continuationSeparator" w:id="0">
    <w:p w14:paraId="359DB7FA" w14:textId="77777777" w:rsidR="00B05137" w:rsidRDefault="00B0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47A57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45023295" wp14:editId="005B5B45">
          <wp:simplePos x="0" y="0"/>
          <wp:positionH relativeFrom="column">
            <wp:posOffset>-911690</wp:posOffset>
          </wp:positionH>
          <wp:positionV relativeFrom="paragraph">
            <wp:posOffset>263525</wp:posOffset>
          </wp:positionV>
          <wp:extent cx="7557685" cy="630644"/>
          <wp:effectExtent l="0" t="0" r="0" b="0"/>
          <wp:wrapNone/>
          <wp:docPr id="25" name="Obraz 25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AC02B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67358AC0" wp14:editId="0C18D393">
          <wp:simplePos x="0" y="0"/>
          <wp:positionH relativeFrom="column">
            <wp:posOffset>-900430</wp:posOffset>
          </wp:positionH>
          <wp:positionV relativeFrom="paragraph">
            <wp:posOffset>262123</wp:posOffset>
          </wp:positionV>
          <wp:extent cx="7557685" cy="630644"/>
          <wp:effectExtent l="0" t="0" r="0" b="0"/>
          <wp:wrapNone/>
          <wp:docPr id="27" name="Obraz 27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685" cy="63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D5B72" w14:textId="77777777" w:rsidR="00B05137" w:rsidRDefault="00B051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133A13" w14:textId="77777777" w:rsidR="00B05137" w:rsidRDefault="00B05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DCE94" w14:textId="77777777" w:rsidR="0079581E" w:rsidRDefault="0079581E">
    <w:pPr>
      <w:pStyle w:val="Nagwek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E3165" w14:textId="77777777" w:rsidR="00265742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4BC91113" wp14:editId="7BA0E9C8">
          <wp:simplePos x="0" y="0"/>
          <wp:positionH relativeFrom="column">
            <wp:posOffset>-900430</wp:posOffset>
          </wp:positionH>
          <wp:positionV relativeFrom="paragraph">
            <wp:posOffset>-713266</wp:posOffset>
          </wp:positionV>
          <wp:extent cx="7562848" cy="1045770"/>
          <wp:effectExtent l="0" t="0" r="635" b="254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9E541" w14:textId="77777777" w:rsidR="00FA6CB1" w:rsidRDefault="00FA6CB1" w:rsidP="00132623">
    <w:pPr>
      <w:pStyle w:val="Podstawowyakapitowy"/>
      <w:spacing w:before="20" w:line="240" w:lineRule="auto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903D6"/>
    <w:multiLevelType w:val="hybridMultilevel"/>
    <w:tmpl w:val="F68A95A2"/>
    <w:lvl w:ilvl="0" w:tplc="8D30DC34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D7E12"/>
    <w:multiLevelType w:val="hybridMultilevel"/>
    <w:tmpl w:val="A8DC70FC"/>
    <w:lvl w:ilvl="0" w:tplc="DB784404">
      <w:start w:val="1"/>
      <w:numFmt w:val="lowerRoman"/>
      <w:lvlText w:val="%1."/>
      <w:lvlJc w:val="righ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676998"/>
    <w:multiLevelType w:val="hybridMultilevel"/>
    <w:tmpl w:val="4B546A3C"/>
    <w:lvl w:ilvl="0" w:tplc="226830D2">
      <w:start w:val="1"/>
      <w:numFmt w:val="lowerLetter"/>
      <w:lvlText w:val="%1)"/>
      <w:lvlJc w:val="left"/>
      <w:pPr>
        <w:ind w:left="3479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3"/>
  </w:num>
  <w:num w:numId="5">
    <w:abstractNumId w:val="1"/>
  </w:num>
  <w:num w:numId="6">
    <w:abstractNumId w:val="16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19"/>
  </w:num>
  <w:num w:numId="12">
    <w:abstractNumId w:val="18"/>
  </w:num>
  <w:num w:numId="13">
    <w:abstractNumId w:val="14"/>
  </w:num>
  <w:num w:numId="14">
    <w:abstractNumId w:val="10"/>
  </w:num>
  <w:num w:numId="15">
    <w:abstractNumId w:val="12"/>
  </w:num>
  <w:num w:numId="16">
    <w:abstractNumId w:val="17"/>
  </w:num>
  <w:num w:numId="17">
    <w:abstractNumId w:val="20"/>
  </w:num>
  <w:num w:numId="18">
    <w:abstractNumId w:val="11"/>
  </w:num>
  <w:num w:numId="19">
    <w:abstractNumId w:val="8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B1"/>
    <w:rsid w:val="000477B4"/>
    <w:rsid w:val="00050604"/>
    <w:rsid w:val="00053CA8"/>
    <w:rsid w:val="00072FF4"/>
    <w:rsid w:val="00091E7E"/>
    <w:rsid w:val="00092842"/>
    <w:rsid w:val="000A34FB"/>
    <w:rsid w:val="000B09F4"/>
    <w:rsid w:val="001000AA"/>
    <w:rsid w:val="00132623"/>
    <w:rsid w:val="0014029D"/>
    <w:rsid w:val="00161E95"/>
    <w:rsid w:val="00163201"/>
    <w:rsid w:val="00181466"/>
    <w:rsid w:val="002461E7"/>
    <w:rsid w:val="00265742"/>
    <w:rsid w:val="002A3319"/>
    <w:rsid w:val="002D2710"/>
    <w:rsid w:val="0032268E"/>
    <w:rsid w:val="00323140"/>
    <w:rsid w:val="003273A8"/>
    <w:rsid w:val="00342BCC"/>
    <w:rsid w:val="003436A6"/>
    <w:rsid w:val="00366262"/>
    <w:rsid w:val="00387E8F"/>
    <w:rsid w:val="003B48DF"/>
    <w:rsid w:val="003B68DC"/>
    <w:rsid w:val="003E5F06"/>
    <w:rsid w:val="0041072C"/>
    <w:rsid w:val="004124EF"/>
    <w:rsid w:val="0043376A"/>
    <w:rsid w:val="00454EFE"/>
    <w:rsid w:val="00496CB5"/>
    <w:rsid w:val="004D7961"/>
    <w:rsid w:val="00502415"/>
    <w:rsid w:val="005070F0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771E9"/>
    <w:rsid w:val="006B3880"/>
    <w:rsid w:val="006E60D7"/>
    <w:rsid w:val="0079581E"/>
    <w:rsid w:val="007C0BE1"/>
    <w:rsid w:val="007D1C8E"/>
    <w:rsid w:val="007E2C1D"/>
    <w:rsid w:val="007E3988"/>
    <w:rsid w:val="0080060F"/>
    <w:rsid w:val="008202B0"/>
    <w:rsid w:val="00821B19"/>
    <w:rsid w:val="00825AE5"/>
    <w:rsid w:val="00866193"/>
    <w:rsid w:val="00894D9E"/>
    <w:rsid w:val="008A2B98"/>
    <w:rsid w:val="008C0DD2"/>
    <w:rsid w:val="008C39CF"/>
    <w:rsid w:val="008C6298"/>
    <w:rsid w:val="008F09E6"/>
    <w:rsid w:val="0092417A"/>
    <w:rsid w:val="0092652F"/>
    <w:rsid w:val="009269D2"/>
    <w:rsid w:val="00945190"/>
    <w:rsid w:val="00946765"/>
    <w:rsid w:val="00990130"/>
    <w:rsid w:val="009F3223"/>
    <w:rsid w:val="00A23326"/>
    <w:rsid w:val="00A45B62"/>
    <w:rsid w:val="00A94D81"/>
    <w:rsid w:val="00AA1C80"/>
    <w:rsid w:val="00AC1539"/>
    <w:rsid w:val="00AE259D"/>
    <w:rsid w:val="00B04DF2"/>
    <w:rsid w:val="00B05137"/>
    <w:rsid w:val="00B26F75"/>
    <w:rsid w:val="00B66B2F"/>
    <w:rsid w:val="00B71470"/>
    <w:rsid w:val="00B90A5A"/>
    <w:rsid w:val="00BB2DFC"/>
    <w:rsid w:val="00BD2BDD"/>
    <w:rsid w:val="00C72B8F"/>
    <w:rsid w:val="00C75EF1"/>
    <w:rsid w:val="00CB4758"/>
    <w:rsid w:val="00D44CF7"/>
    <w:rsid w:val="00D526F6"/>
    <w:rsid w:val="00D6570A"/>
    <w:rsid w:val="00D9647D"/>
    <w:rsid w:val="00DF0878"/>
    <w:rsid w:val="00E01178"/>
    <w:rsid w:val="00E302A6"/>
    <w:rsid w:val="00E441DC"/>
    <w:rsid w:val="00EA01DA"/>
    <w:rsid w:val="00EC5246"/>
    <w:rsid w:val="00EE2184"/>
    <w:rsid w:val="00F21BFA"/>
    <w:rsid w:val="00F4062E"/>
    <w:rsid w:val="00F43CA8"/>
    <w:rsid w:val="00F97517"/>
    <w:rsid w:val="00FA1C80"/>
    <w:rsid w:val="00FA6CB1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D4D31"/>
  <w15:docId w15:val="{2012A4C2-01E8-4847-8DC9-EE2AB7C6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65"/>
    <w:p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6765"/>
    <w:pPr>
      <w:spacing w:before="200" w:after="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6765"/>
    <w:pPr>
      <w:spacing w:before="200" w:after="0" w:line="271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94676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946765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946765"/>
    <w:rPr>
      <w:rFonts w:ascii="Calibri" w:eastAsia="Times New Roman" w:hAnsi="Calibri" w:cs="Times New Roman"/>
      <w:b/>
      <w:bCs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T_SZ_List Paragraph,L1,Akapit z listą5,Nagłowek 3,Preambuła,Akapit z listą BS,Kolorowa lista — akcent 11,Dot pt,F5 List Paragraph,Recommendation,List Paragraph11,lp1,maz_wyliczenie,opis dzialania,K-P_odwolanie,A_wyliczenie,Podsis rysunku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5E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5EF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C75EF1"/>
    <w:pPr>
      <w:spacing w:after="0" w:line="240" w:lineRule="auto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75EF1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basedOn w:val="Normalny"/>
    <w:rsid w:val="00496CB5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73A8"/>
    <w:rPr>
      <w:sz w:val="16"/>
      <w:szCs w:val="16"/>
    </w:rPr>
  </w:style>
  <w:style w:type="character" w:customStyle="1" w:styleId="Mocnowyrniony">
    <w:name w:val="Mocno wyróżniony"/>
    <w:qFormat/>
    <w:rsid w:val="00100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6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5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firmowe</vt:lpstr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firmowe</dc:title>
  <dc:creator>PFRON</dc:creator>
  <cp:lastModifiedBy>Jabłonowska Emilia</cp:lastModifiedBy>
  <cp:revision>3</cp:revision>
  <cp:lastPrinted>2018-05-09T10:06:00Z</cp:lastPrinted>
  <dcterms:created xsi:type="dcterms:W3CDTF">2023-08-25T07:53:00Z</dcterms:created>
  <dcterms:modified xsi:type="dcterms:W3CDTF">2023-08-25T08:35:00Z</dcterms:modified>
</cp:coreProperties>
</file>