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43F7" w14:textId="77777777" w:rsidR="00F40E4C" w:rsidRDefault="007C2A09">
      <w:pPr>
        <w:pStyle w:val="Akapitzlist"/>
        <w:tabs>
          <w:tab w:val="left" w:pos="1963"/>
        </w:tabs>
        <w:spacing w:line="240" w:lineRule="auto"/>
        <w:ind w:left="567"/>
        <w:jc w:val="center"/>
        <w:rPr>
          <w:rFonts w:cstheme="minorHAnsi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" behindDoc="0" locked="0" layoutInCell="0" allowOverlap="1" wp14:anchorId="504A3964" wp14:editId="4A888925">
            <wp:simplePos x="0" y="0"/>
            <wp:positionH relativeFrom="margin">
              <wp:posOffset>1440180</wp:posOffset>
            </wp:positionH>
            <wp:positionV relativeFrom="page">
              <wp:posOffset>401320</wp:posOffset>
            </wp:positionV>
            <wp:extent cx="2510790" cy="714375"/>
            <wp:effectExtent l="0" t="0" r="0" b="0"/>
            <wp:wrapTopAndBottom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 xml:space="preserve">D/15/2025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załącznik nr 1.2</w:t>
      </w:r>
    </w:p>
    <w:p w14:paraId="4A8DFD6D" w14:textId="77777777" w:rsidR="00F40E4C" w:rsidRDefault="007C2A09">
      <w:pPr>
        <w:spacing w:after="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b/>
          <w:caps/>
          <w:sz w:val="24"/>
          <w:szCs w:val="24"/>
        </w:rPr>
        <w:t>Opis przedmiotu zamówienia</w:t>
      </w:r>
    </w:p>
    <w:p w14:paraId="44400CE4" w14:textId="77777777" w:rsidR="00F40E4C" w:rsidRDefault="00F40E4C">
      <w:pPr>
        <w:pStyle w:val="Akapitzlist"/>
        <w:tabs>
          <w:tab w:val="left" w:pos="1963"/>
        </w:tabs>
        <w:spacing w:after="0" w:line="240" w:lineRule="auto"/>
        <w:jc w:val="right"/>
        <w:rPr>
          <w:rFonts w:cstheme="minorHAnsi"/>
          <w:b/>
          <w:sz w:val="24"/>
          <w:szCs w:val="24"/>
          <w:lang w:eastAsia="pl-PL"/>
        </w:rPr>
      </w:pPr>
    </w:p>
    <w:p w14:paraId="683B6CCE" w14:textId="77777777" w:rsidR="00F40E4C" w:rsidRDefault="007C2A09">
      <w:pPr>
        <w:pStyle w:val="Akapitzlist"/>
        <w:tabs>
          <w:tab w:val="left" w:pos="1963"/>
        </w:tabs>
        <w:spacing w:after="0" w:line="240" w:lineRule="auto"/>
        <w:ind w:left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Przedmiot zamówienia:  </w:t>
      </w:r>
      <w:r>
        <w:rPr>
          <w:rFonts w:cstheme="minorHAnsi"/>
          <w:b/>
          <w:sz w:val="24"/>
          <w:szCs w:val="24"/>
          <w:lang w:eastAsia="pl-PL"/>
        </w:rPr>
        <w:t>„Zakup i dostawa urządzeń aktywnych na potrzeby Centrum Nowoczesnych Technologii Uniwersytetu Opolskiego.”</w:t>
      </w:r>
    </w:p>
    <w:p w14:paraId="4AC9FCD8" w14:textId="77777777" w:rsidR="00F40E4C" w:rsidRDefault="007C2A09">
      <w:pPr>
        <w:pStyle w:val="Nagwek"/>
        <w:pBdr>
          <w:bottom w:val="thickThinSmallGap" w:sz="24" w:space="9" w:color="800000"/>
        </w:pBdr>
        <w:spacing w:before="0" w:after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41F5B46C" w14:textId="62314DAF" w:rsidR="00F40E4C" w:rsidRDefault="007C2A09">
      <w:pPr>
        <w:spacing w:before="24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część nr 2, pn.: </w:t>
      </w:r>
      <w:r>
        <w:rPr>
          <w:rFonts w:cstheme="minorHAnsi"/>
          <w:b/>
          <w:i/>
          <w:sz w:val="24"/>
          <w:szCs w:val="24"/>
        </w:rPr>
        <w:t>„</w:t>
      </w:r>
      <w:r w:rsidR="003F5DE1" w:rsidRPr="003F5DE1">
        <w:rPr>
          <w:rFonts w:cstheme="minorHAnsi"/>
          <w:b/>
          <w:i/>
          <w:sz w:val="24"/>
          <w:szCs w:val="24"/>
        </w:rPr>
        <w:t>Zakup i dostawa serwerów – 8 szt.</w:t>
      </w:r>
      <w:r>
        <w:rPr>
          <w:rFonts w:cstheme="minorHAnsi"/>
          <w:b/>
          <w:i/>
          <w:sz w:val="24"/>
          <w:szCs w:val="24"/>
        </w:rPr>
        <w:t>”</w:t>
      </w:r>
    </w:p>
    <w:p w14:paraId="0A1777CB" w14:textId="77777777" w:rsidR="00F40E4C" w:rsidRDefault="00F40E4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66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93"/>
        <w:gridCol w:w="1984"/>
        <w:gridCol w:w="7088"/>
      </w:tblGrid>
      <w:tr w:rsidR="00F40E4C" w14:paraId="782301F7" w14:textId="77777777">
        <w:trPr>
          <w:trHeight w:val="405"/>
          <w:tblHeader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15B5115" w14:textId="77777777" w:rsidR="00F40E4C" w:rsidRDefault="007C2A09">
            <w:pPr>
              <w:spacing w:before="120" w:after="120"/>
              <w:ind w:left="-393" w:right="-369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425E28" w14:textId="77777777" w:rsidR="00F40E4C" w:rsidRDefault="007C2A09">
            <w:pPr>
              <w:spacing w:before="120" w:after="120"/>
              <w:ind w:right="52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Wymagane minimalne parametry techniczne</w:t>
            </w:r>
          </w:p>
        </w:tc>
      </w:tr>
      <w:tr w:rsidR="00F40E4C" w14:paraId="498FEE25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0F4DF9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02F435D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Obudowa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383501" w14:textId="77777777" w:rsidR="00F40E4C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Obudowa Rack o wysokości 2U.</w:t>
            </w:r>
          </w:p>
          <w:p w14:paraId="4756489F" w14:textId="77777777" w:rsidR="00F40E4C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Obudowa musi umożliwiać instalację min. 8 dysków SFF SATA/SAS 2,5”. Możliwość rozbudowy obudowy serwera do obsługi min. 16 dysków SFF SATA/SAS 2,5”.</w:t>
            </w:r>
          </w:p>
          <w:p w14:paraId="542CCCC2" w14:textId="77777777" w:rsidR="00F40E4C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Serwer wraz z kompletem wysuwanych szyn umożliwiających montaż w szafie rack i wysuwanie serwera do celów serwisowych oraz organizerem na okablowanie </w:t>
            </w:r>
          </w:p>
          <w:p w14:paraId="55B815E0" w14:textId="77777777" w:rsidR="00F40E4C" w:rsidRPr="003F5DE1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Możliwość </w:t>
            </w:r>
            <w:r w:rsidRPr="003F5DE1">
              <w:rPr>
                <w:rFonts w:cstheme="minorHAnsi"/>
                <w:sz w:val="24"/>
                <w:szCs w:val="24"/>
              </w:rPr>
              <w:t>dokupienia z oficjalnego kanału sprzedaży producenta przedniego panelu zamykanego na klucz, chroniącego dyski przed nieuprawnionym wyjęciem z serwera.</w:t>
            </w:r>
          </w:p>
          <w:p w14:paraId="122C25B1" w14:textId="77777777" w:rsidR="00F40E4C" w:rsidRPr="003F5DE1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Obudowa wyposażona w sygnalizację LED umieszczoną na froncie obudowy informująca o stanie serwera.</w:t>
            </w:r>
          </w:p>
          <w:p w14:paraId="42AEBFAF" w14:textId="77777777" w:rsidR="00F40E4C" w:rsidRDefault="007C2A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 xml:space="preserve">Wymagana możliwość rozbudowy serwera o panel diagnostyczny (LCD) umieszczony z przodu obudowy </w:t>
            </w:r>
            <w:r>
              <w:rPr>
                <w:rFonts w:cstheme="minorHAnsi"/>
                <w:sz w:val="24"/>
                <w:szCs w:val="24"/>
              </w:rPr>
              <w:t>serwera, umożliwiający:</w:t>
            </w:r>
          </w:p>
          <w:p w14:paraId="44FC61E2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1) wyświetlenie podstawowych informacji o serwerze, w tym numer seryjny oraz wersja oprogramowania zarządzającego i BIOS</w:t>
            </w:r>
          </w:p>
          <w:p w14:paraId="2143F59E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2) wyświetlanie stanu i logów, dla pamięci RAM, procesorów, pamięci masowej, wentylatorów, czujników temperatury i zasilaczy</w:t>
            </w:r>
          </w:p>
          <w:p w14:paraId="4732720F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3)  przywracanie konta administratora</w:t>
            </w:r>
          </w:p>
          <w:p w14:paraId="754E841C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4)  wyświetlanie w czasie rzeczywistym temperatury wlotu powietrza do serwera</w:t>
            </w:r>
          </w:p>
          <w:p w14:paraId="602F1E21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5) wyświetlanie w czasie rzeczywistym temperatury procesorów</w:t>
            </w:r>
          </w:p>
          <w:p w14:paraId="0AA3D0DA" w14:textId="77777777" w:rsidR="00F40E4C" w:rsidRDefault="007C2A09">
            <w:pPr>
              <w:pStyle w:val="Akapitzlist"/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6) konfigurowanie ustawień sieciowych modułu zarządzania.</w:t>
            </w:r>
          </w:p>
        </w:tc>
      </w:tr>
      <w:tr w:rsidR="00F40E4C" w14:paraId="7E97D5F5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AFEF10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7308B0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Płyta główna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21138A" w14:textId="77777777" w:rsidR="00F40E4C" w:rsidRDefault="007C2A09">
            <w:pPr>
              <w:pStyle w:val="Akapitzlist"/>
              <w:numPr>
                <w:ilvl w:val="1"/>
                <w:numId w:val="3"/>
              </w:numPr>
              <w:spacing w:before="60" w:after="60" w:line="240" w:lineRule="auto"/>
              <w:ind w:left="337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Płyta główna z możliwością zainstalowania min. dwóch procesorów.</w:t>
            </w:r>
          </w:p>
          <w:p w14:paraId="34F7798A" w14:textId="77777777" w:rsidR="00F40E4C" w:rsidRDefault="007C2A09">
            <w:pPr>
              <w:pStyle w:val="Akapitzlist"/>
              <w:numPr>
                <w:ilvl w:val="1"/>
                <w:numId w:val="3"/>
              </w:numPr>
              <w:spacing w:before="60" w:after="60" w:line="240" w:lineRule="auto"/>
              <w:ind w:left="337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Obsługa minimum 3 TB RAM. Na płycie głównej powinny znajdować się minimum 24 sloty przeznaczone do instalacji pamięci RAM DDR5 min. 4800 MT/s.</w:t>
            </w:r>
          </w:p>
          <w:p w14:paraId="14FE65E6" w14:textId="77777777" w:rsidR="00F40E4C" w:rsidRDefault="007C2A09">
            <w:pPr>
              <w:pStyle w:val="Akapitzlist"/>
              <w:numPr>
                <w:ilvl w:val="1"/>
                <w:numId w:val="3"/>
              </w:numPr>
              <w:spacing w:before="60" w:after="60" w:line="240" w:lineRule="auto"/>
              <w:ind w:left="337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Płyta główna musi być zaprojektowana przez producenta serwera.</w:t>
            </w:r>
          </w:p>
        </w:tc>
      </w:tr>
      <w:tr w:rsidR="00F40E4C" w14:paraId="2E386E3C" w14:textId="77777777">
        <w:trPr>
          <w:trHeight w:val="237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F81B0E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632B616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Chipset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804735" w14:textId="77777777" w:rsidR="00F40E4C" w:rsidRDefault="007C2A09">
            <w:pPr>
              <w:pStyle w:val="Akapitzlist"/>
              <w:numPr>
                <w:ilvl w:val="1"/>
                <w:numId w:val="6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Dedykowany przez producenta procesora do pracy w serwerach dwuprocesorowych.</w:t>
            </w:r>
          </w:p>
        </w:tc>
      </w:tr>
      <w:tr w:rsidR="00F40E4C" w14:paraId="37C4A8CB" w14:textId="77777777">
        <w:trPr>
          <w:trHeight w:val="84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E9AD31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0A60FE3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Procesor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BC3E32" w14:textId="77777777" w:rsidR="00F40E4C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Zainstalowane dwa procesory.</w:t>
            </w:r>
          </w:p>
          <w:p w14:paraId="69AAEFFC" w14:textId="77777777" w:rsidR="00F40E4C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 uwagi na licencje posiadane przez Zamawiającego, pojedynczy procesor musi posiadać 64 rdzenie fizyczne oraz 128 wątków logicznych.</w:t>
            </w:r>
          </w:p>
          <w:p w14:paraId="5DC57F12" w14:textId="77777777" w:rsidR="00F40E4C" w:rsidRPr="00097900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Procesory </w:t>
            </w:r>
            <w:r w:rsidRPr="00097900">
              <w:rPr>
                <w:rFonts w:cstheme="minorHAnsi"/>
                <w:sz w:val="24"/>
                <w:szCs w:val="24"/>
              </w:rPr>
              <w:t xml:space="preserve">w konfiguracji dwuprocesorowej, umożliwiające osiągnięcie co najmniej 146171 punktów w teście wielowątkowym oraz 2950 punktów dla pojedynczego wątku </w:t>
            </w:r>
            <w:r w:rsidRPr="00097900">
              <w:rPr>
                <w:rFonts w:cstheme="minorHAnsi"/>
                <w:sz w:val="24"/>
                <w:szCs w:val="24"/>
              </w:rPr>
              <w:br/>
              <w:t>w benchmarku PassMark (cpubenchmark.net)</w:t>
            </w:r>
            <w:r w:rsidRPr="00097900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Pr="00097900">
              <w:rPr>
                <w:rFonts w:cstheme="minorHAnsi"/>
                <w:sz w:val="24"/>
                <w:szCs w:val="24"/>
              </w:rPr>
              <w:t>.</w:t>
            </w:r>
          </w:p>
          <w:p w14:paraId="7CA8BE49" w14:textId="77777777" w:rsidR="00F40E4C" w:rsidRPr="00097900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 w:rsidRPr="00097900">
              <w:rPr>
                <w:rFonts w:cstheme="minorHAnsi"/>
                <w:sz w:val="24"/>
                <w:szCs w:val="24"/>
              </w:rPr>
              <w:t>Procesor musi obsługiwać pamięci DDR5 RDIMM</w:t>
            </w:r>
            <w:r w:rsidRPr="000979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097900">
              <w:rPr>
                <w:rFonts w:cstheme="minorHAnsi"/>
                <w:sz w:val="24"/>
                <w:szCs w:val="24"/>
              </w:rPr>
              <w:t>lub nowsze.</w:t>
            </w:r>
          </w:p>
          <w:p w14:paraId="7098F42C" w14:textId="77777777" w:rsidR="00F40E4C" w:rsidRPr="00097900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 w:rsidRPr="00097900">
              <w:rPr>
                <w:rFonts w:cstheme="minorHAnsi"/>
                <w:sz w:val="24"/>
                <w:szCs w:val="24"/>
              </w:rPr>
              <w:t>Minimum 256MB pamięci cache.</w:t>
            </w:r>
          </w:p>
          <w:p w14:paraId="36DC2D5A" w14:textId="77777777" w:rsidR="00F40E4C" w:rsidRDefault="007C2A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TDP nie większe niż 360W.</w:t>
            </w:r>
          </w:p>
        </w:tc>
      </w:tr>
      <w:tr w:rsidR="00F40E4C" w14:paraId="0588EEBA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E8C3816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4504A48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Pamięć RAM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73E7F08" w14:textId="77777777" w:rsidR="00F40E4C" w:rsidRDefault="007C2A0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Minimum 768 GB RAM 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>DDR5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RDIMM minimum 4800 MT/s.</w:t>
            </w:r>
          </w:p>
          <w:p w14:paraId="039C0557" w14:textId="77777777" w:rsidR="00F40E4C" w:rsidRDefault="007C2A0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Wszystkie pamięci (każda z kości RDIMM) muszą być tej samej pojemności (GB) oraz typu (taktowanie/opóźnienie).</w:t>
            </w:r>
          </w:p>
          <w:p w14:paraId="13858D43" w14:textId="77777777" w:rsidR="00F40E4C" w:rsidRDefault="007C2A0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rozbudowy o dodatkowe min. 1536GB pamięci RAM bez konieczności wymiany zaoferowanych modułów.</w:t>
            </w:r>
          </w:p>
        </w:tc>
      </w:tr>
      <w:tr w:rsidR="00F40E4C" w14:paraId="4F3BEA59" w14:textId="77777777">
        <w:trPr>
          <w:trHeight w:val="456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3B0F90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1D0F7C9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Zabezpieczenie pamięci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BE7FDC" w14:textId="77777777" w:rsidR="00F40E4C" w:rsidRDefault="007C2A0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DRAM ECC, DRAM Error Check and Scrub (ECS), DRAM UECC Retry, DRAM Patrol Scrubber, DRAM Redirect Scrubber.</w:t>
            </w:r>
          </w:p>
        </w:tc>
      </w:tr>
      <w:tr w:rsidR="00F40E4C" w14:paraId="4F42F982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9A377E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4FAA79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Dyski na system operacyjny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4BCBA9" w14:textId="77777777" w:rsidR="00F40E4C" w:rsidRDefault="007C2A0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Zainstalowane 2 dyski serwerowe SSD o pojemności min. 480GB każdy.</w:t>
            </w:r>
          </w:p>
          <w:p w14:paraId="0CD0D4DC" w14:textId="77777777" w:rsidR="00F40E4C" w:rsidRDefault="007C2A0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Dyski muszą posiadać parametr żywotności DWPD nie mniejszy niż 1.0 przy założeniu 5 lat eksploatacji.</w:t>
            </w:r>
          </w:p>
          <w:p w14:paraId="4282B3D2" w14:textId="77777777" w:rsidR="00F40E4C" w:rsidRDefault="007C2A0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Dyski muszą być zainstalowane z przodu lub tyłu obudowy serwera.</w:t>
            </w:r>
          </w:p>
          <w:p w14:paraId="2B394619" w14:textId="77777777" w:rsidR="00F40E4C" w:rsidRDefault="007C2A0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Dyski muszą być podłączone do sprzętowego kontrolera RAID wspierającego poziomy RAID minimum 0, 1, 10.</w:t>
            </w:r>
          </w:p>
        </w:tc>
      </w:tr>
      <w:tr w:rsidR="00F40E4C" w14:paraId="00F89078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76AD48E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8692DBE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Wbudowane porty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0CA9EA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Przód serwera – minimum 1 port USB 3.0 oraz minimum 1 port USB 2.0 lub lepszy, VGA (D-SUB), 1 port USB-C.</w:t>
            </w:r>
          </w:p>
          <w:p w14:paraId="1EDF5252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Tył serwera – minimum 1 port USB 3.0 oraz minimum 1 port USB 2.0 lub lepszy, VGA (D-SUB), 1 port 1GbE Base-T dedykowany do zarządzania serwerem.</w:t>
            </w:r>
          </w:p>
          <w:p w14:paraId="7865E53C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Porty mają umożliwić podłączenie klawiatury / myszy (USB 2.0), nośnika klasy Flash PenDrive (USB 3.0).</w:t>
            </w:r>
          </w:p>
          <w:p w14:paraId="781819A4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Złącze USB-C na przednim panelu musi umożliwiać dostęp do modułu zarządzania serwerem przez komputer PC z systemem Windows oraz urządzenia mobilne z systemem Android / iOS.</w:t>
            </w:r>
          </w:p>
          <w:p w14:paraId="4F9CA9AE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Powyższe porty USB, USB-C oraz VGA nie mogą zostać osiągnięte poprzez stosowanie dodatkowych adapterów, przejściówek oraz kart rozszerzeń.</w:t>
            </w:r>
          </w:p>
          <w:p w14:paraId="482650DA" w14:textId="77777777" w:rsidR="00F40E4C" w:rsidRDefault="007C2A0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Zamawiający dopuszcza stosowanie dodatkowych portów z wykorzystaniem certyfikowanych przez producenta serwera modułów rozszerzeń obudowy pod warunkiem ich dostarczenia. Porty nie mogą zajmować slotów kart rozszerzeń PCI-E oraz wnęk na dyski.</w:t>
            </w:r>
          </w:p>
        </w:tc>
      </w:tr>
      <w:tr w:rsidR="00F40E4C" w14:paraId="0DC5E252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ACAF3D4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6F8FA9D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Sloty rozszerzeń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B31BE0" w14:textId="77777777" w:rsidR="00F40E4C" w:rsidRDefault="007C2A09">
            <w:pPr>
              <w:spacing w:before="60" w:after="60"/>
              <w:ind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Minimum 1 aktywny slot PCI-E x16 oraz dwa aktywne sloty PCI-E x8. </w:t>
            </w:r>
          </w:p>
          <w:p w14:paraId="5A4114C0" w14:textId="77777777" w:rsidR="00F40E4C" w:rsidRDefault="007C2A09">
            <w:pPr>
              <w:spacing w:before="60" w:after="60"/>
              <w:ind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rozbudowy o minimum 3 dodatkowe aktywne sloty PCI-E.</w:t>
            </w:r>
          </w:p>
        </w:tc>
      </w:tr>
      <w:tr w:rsidR="00F40E4C" w14:paraId="0ADFD5F9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B880BB9" w14:textId="77777777" w:rsidR="00F40E4C" w:rsidRDefault="007C2A09">
            <w:pPr>
              <w:ind w:left="-28" w:right="-369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10.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D36B14B" w14:textId="77777777" w:rsidR="00F40E4C" w:rsidRDefault="007C2A09">
            <w:pPr>
              <w:ind w:right="52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Interfejsy sieciowe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3C521B" w14:textId="77777777" w:rsidR="00F40E4C" w:rsidRDefault="007C2A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Zainstalowane i w pełni funkcjonalne interfejsy:</w:t>
            </w:r>
          </w:p>
          <w:p w14:paraId="732690B3" w14:textId="77777777" w:rsidR="00F40E4C" w:rsidRDefault="007C2A09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629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minimum 2 porty 25 Gb/s Ethernet wyposażone we wkładki optyczne SFP28 typu Multimode.</w:t>
            </w:r>
          </w:p>
          <w:p w14:paraId="298A1A64" w14:textId="77777777" w:rsidR="00F40E4C" w:rsidRDefault="007C2A09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629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W/w porty nie mogą być zrealizowane z zastosowaniem karty zajmującej slot PCI-E.</w:t>
            </w:r>
          </w:p>
          <w:p w14:paraId="32232F71" w14:textId="77777777" w:rsidR="00F40E4C" w:rsidRDefault="007C2A09">
            <w:pPr>
              <w:pStyle w:val="Akapitzlist"/>
              <w:numPr>
                <w:ilvl w:val="0"/>
                <w:numId w:val="13"/>
              </w:numPr>
              <w:spacing w:before="60" w:after="60" w:line="240" w:lineRule="auto"/>
              <w:ind w:left="346" w:right="52" w:hanging="42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Serwer musi posiadać możliwość instalacji dodatkowej karty o prędkości 1 Gb/s lub 10 Gb/s Ethernet w standardzie Base-T lub o prędkości 10 Gb/s lub 25 Gb/s Ethernet w standardzie SFP+ / SFP28. Karta nie może zajmować slotów PCI-E.</w:t>
            </w:r>
          </w:p>
        </w:tc>
      </w:tr>
      <w:tr w:rsidR="00F40E4C" w14:paraId="556D19B0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2075B7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050D988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Karta graficzna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B5E709" w14:textId="77777777" w:rsidR="00F40E4C" w:rsidRDefault="007C2A09">
            <w:pPr>
              <w:pStyle w:val="Akapitzlist"/>
              <w:numPr>
                <w:ilvl w:val="1"/>
                <w:numId w:val="5"/>
              </w:numPr>
              <w:spacing w:before="60" w:after="60" w:line="240" w:lineRule="auto"/>
              <w:ind w:left="337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Zintegrowana karta graficzna umożliwiająca rozdzielczość min. 1920x1200 60Hz.</w:t>
            </w:r>
          </w:p>
        </w:tc>
      </w:tr>
      <w:tr w:rsidR="00F40E4C" w14:paraId="78F3F971" w14:textId="77777777">
        <w:trPr>
          <w:trHeight w:val="39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7F5179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657550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Wentylatory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523630" w14:textId="77777777" w:rsidR="00F40E4C" w:rsidRDefault="007C2A09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Wentylatory wspierające wymianę Hot-Swap, zamontowane nadmiarowo minimum N+1.</w:t>
            </w:r>
          </w:p>
          <w:p w14:paraId="2FF584CA" w14:textId="77777777" w:rsidR="00F40E4C" w:rsidRDefault="007C2A09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zainstalowanych wentylatorów musi umożliwiać wydajne chłodzenie dla maksymalnej konfiguracji serwera (CPU, RAM, PCI-E, dyski, zasilacze).</w:t>
            </w:r>
          </w:p>
        </w:tc>
      </w:tr>
      <w:tr w:rsidR="00F40E4C" w14:paraId="5D469249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B56FDE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916F64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Zasilanie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6B1DB3" w14:textId="77777777" w:rsidR="00F40E4C" w:rsidRDefault="007C2A0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Minimum dwa identyczne zasilacze zainstalowane wewnątrz serwera, pracujące redundantnie, zapewniające możliwość wyłączenia i wyjęcia dowolnego z nich z serwera bez przerywania pracy serwera oraz bez ograniczania wydajności serwera.</w:t>
            </w:r>
          </w:p>
          <w:p w14:paraId="635F5C14" w14:textId="77777777" w:rsidR="00F40E4C" w:rsidRDefault="007C2A0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Mocy każdego zasilacza minimum 1600W oraz nie więcej niż 2600W.</w:t>
            </w:r>
          </w:p>
          <w:p w14:paraId="5C5C5570" w14:textId="77777777" w:rsidR="00F40E4C" w:rsidRDefault="007C2A0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Sprawność zasilaczy na poziomie minimum 80 PLUS Titanium.</w:t>
            </w:r>
          </w:p>
        </w:tc>
      </w:tr>
      <w:tr w:rsidR="00F40E4C" w14:paraId="02A477C8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766EA3C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34F955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Zarządzanie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DFD56" w14:textId="77777777" w:rsidR="00F40E4C" w:rsidRDefault="007C2A0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Karta zarządzająca niezależna od zainstalowanego na serwerze systemu operacyjnego posiadająca dedykowany port 1 Gigabit Ethernet RJ-45 (1000Mbps) i umożliwiająca:</w:t>
            </w:r>
          </w:p>
          <w:p w14:paraId="1BFC7C59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monitoring stanu serwera oraz pracy komponentów (temperatura kluczowych komponentów, prędkość obrotowa wentylatorów, itp.),</w:t>
            </w:r>
          </w:p>
          <w:p w14:paraId="403B2D56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monitorowanie w czasie rzeczywistym poboru prądu przez serwer,</w:t>
            </w:r>
          </w:p>
          <w:p w14:paraId="39470F43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zbieranie logów błędów hardware,</w:t>
            </w:r>
          </w:p>
          <w:p w14:paraId="76216111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przechwycenie wirtualnej konsoli wraz z dostępem do myszy i klawiatury,</w:t>
            </w:r>
          </w:p>
          <w:p w14:paraId="7995C04F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montowanie wirtualnych napędów,</w:t>
            </w:r>
          </w:p>
          <w:p w14:paraId="00FF8FB6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zdalna identyfikacja fizycznego serwera i obudowy za pomocą sygnalizatora optycznego,</w:t>
            </w:r>
          </w:p>
          <w:p w14:paraId="6738FA14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wysyłanie zawiadomień droga mailową i poprzez SNMP</w:t>
            </w:r>
          </w:p>
          <w:p w14:paraId="0FDEBD9E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wsparcia dla IPMI, SSH, Redfish</w:t>
            </w:r>
          </w:p>
          <w:p w14:paraId="6F1D0800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nadawanie ról użytkownikom,</w:t>
            </w:r>
          </w:p>
          <w:p w14:paraId="47C8CB48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wykonania aktualizacji oprogramowania do zarządzania serwerem, BIOS, zasilaczy, LCD</w:t>
            </w:r>
          </w:p>
          <w:p w14:paraId="7D2B568E" w14:textId="77777777" w:rsidR="00F40E4C" w:rsidRDefault="007C2A09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620" w:right="52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zainstalowania modułu Wi-Fi umożliwiającego połączenie z modułem zarządzania serwerem.</w:t>
            </w:r>
          </w:p>
        </w:tc>
      </w:tr>
      <w:tr w:rsidR="00F40E4C" w14:paraId="1F66F0DC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A93E03C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60E60ED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Dodatkowe oprogramowanie do zarządzania i monitorowania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29B5" w14:textId="7BAAFF77" w:rsidR="00F40E4C" w:rsidRDefault="007C2A0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Wraz z serwerem </w:t>
            </w:r>
            <w:r w:rsidRPr="00097900">
              <w:rPr>
                <w:rFonts w:cstheme="minorHAnsi"/>
                <w:sz w:val="24"/>
                <w:szCs w:val="24"/>
              </w:rPr>
              <w:t xml:space="preserve">dostarczone musi być oprogramowanie </w:t>
            </w:r>
            <w:r>
              <w:rPr>
                <w:rFonts w:cstheme="minorHAnsi"/>
                <w:sz w:val="24"/>
                <w:szCs w:val="24"/>
              </w:rPr>
              <w:t xml:space="preserve">zarządzające i diagnostyczne wyprodukowane przez producenta serwera umożliwiające zdalne zarządzanie grupami serwerów (klastrem), posiadające interfejs graficzny dostępny z poziomu przeglądarek internetowych (HTML), pozwalające m.in. na:  </w:t>
            </w:r>
          </w:p>
          <w:p w14:paraId="34B1D4C7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włączenie, wyłączenie, restart, podgląd logów serwerów, sprawdzenie statusu sprzętu, przejęcie pełnej konsoli graficznej serwerów.</w:t>
            </w:r>
          </w:p>
          <w:p w14:paraId="253CAFD6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tworzenie szablonów instalacyjnych dla systemów operacyjnych.</w:t>
            </w:r>
          </w:p>
          <w:p w14:paraId="24325A8B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tworzenie profili serwerów ze zdefiniowanymi parametrami BIOS, procesora/-ów, pamięci, kontrolera RAID które umożliwiają szybkie wdrożenie identycznej konfiguracji na grupie serwerów.</w:t>
            </w:r>
          </w:p>
          <w:p w14:paraId="3AC84A02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zdalne montowanie obrazów ISO pozwalające na uruchomienie z nich serwera.</w:t>
            </w:r>
          </w:p>
          <w:p w14:paraId="30CBFB74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aktualizacja sterowników i BIOS serwerów.</w:t>
            </w:r>
          </w:p>
          <w:p w14:paraId="1C7A6AFB" w14:textId="77777777" w:rsidR="00F40E4C" w:rsidRDefault="007C2A0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zbieranie statystyk zużycia energii dla wszystkich serwerów z możliwością graficznej prezentacji danych historycznych.</w:t>
            </w:r>
          </w:p>
        </w:tc>
      </w:tr>
      <w:tr w:rsidR="00F40E4C" w14:paraId="0413879C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B32DAF3" w14:textId="77777777" w:rsidR="00F40E4C" w:rsidRDefault="007C2A09">
            <w:pPr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9066A80" w14:textId="77777777" w:rsidR="00F40E4C" w:rsidRDefault="007C2A09">
            <w:pPr>
              <w:ind w:right="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Certyfikaty 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30A29F" w14:textId="69A7C80B" w:rsidR="00F40E4C" w:rsidRDefault="007C2A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Serwer musi być wyprodukowany zgodnie z normą ISO 9001 lub równoważną oraz zaprojektowany i produkowany zgodnie z normą ISO 14001 lub równoważną.</w:t>
            </w:r>
          </w:p>
          <w:p w14:paraId="12DB5374" w14:textId="77777777" w:rsidR="00F40E4C" w:rsidRDefault="007C2A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Oferowany serwer musi być kompatybilny z Vmware 7.0 i 8.0.</w:t>
            </w:r>
          </w:p>
          <w:p w14:paraId="031D4AA2" w14:textId="77777777" w:rsidR="00F40E4C" w:rsidRDefault="007C2A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Oferowany serwer musi znajdować się na liście kompatybilności Microsoft Windows Server dla wersji 2019 oraz 2022.</w:t>
            </w:r>
          </w:p>
          <w:p w14:paraId="15C4D2E4" w14:textId="77777777" w:rsidR="00F40E4C" w:rsidRDefault="007C2A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Certyfikat zgodności z dyrektywą RoHS lub dokument wystawiony przez niezależną, akredytowaną jednostkę potwierdzający spełnienie kryteriów środowiskowych zgodnych z dyrektywą RoHS o eliminacji substancji niebezpiecznych.</w:t>
            </w:r>
          </w:p>
          <w:p w14:paraId="3ADB247C" w14:textId="22922433" w:rsidR="00F40E4C" w:rsidRDefault="007C2A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Deklaracja zgodności UE (Certyfikat CE).</w:t>
            </w:r>
          </w:p>
        </w:tc>
      </w:tr>
      <w:tr w:rsidR="00F40E4C" w14:paraId="66F064E3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C4627FC" w14:textId="77777777" w:rsidR="00F40E4C" w:rsidRDefault="007C2A09">
            <w:pPr>
              <w:spacing w:line="276" w:lineRule="auto"/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A78F738" w14:textId="77777777" w:rsidR="00F40E4C" w:rsidRDefault="007C2A0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0DECE" w14:textId="77777777" w:rsidR="00F40E4C" w:rsidRPr="003F5DE1" w:rsidRDefault="007C2A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Wymagany jest serwis gwarancyjny min. 60 </w:t>
            </w:r>
            <w:r w:rsidRPr="003F5DE1">
              <w:rPr>
                <w:rFonts w:cstheme="minorHAnsi"/>
                <w:sz w:val="24"/>
                <w:szCs w:val="24"/>
              </w:rPr>
              <w:t xml:space="preserve">miesięcy (zgodnie z kryteriami oceny ofert) świadczony w trybie Next Business Day w miejscu instalacji sprzętu, </w:t>
            </w:r>
            <w:r w:rsidRPr="003F5DE1">
              <w:rPr>
                <w:rFonts w:cstheme="minorHAnsi"/>
                <w:b/>
                <w:sz w:val="24"/>
                <w:szCs w:val="24"/>
              </w:rPr>
              <w:t>tj, obejmujący co najmniej poniższy zakres:</w:t>
            </w:r>
          </w:p>
          <w:p w14:paraId="05607F46" w14:textId="77777777" w:rsidR="00F40E4C" w:rsidRPr="003F5DE1" w:rsidRDefault="007C2A0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W okresie gwarancji rozpoczęcie napraw gwarancyjnych nastąpi nie później niż w następnym dniu roboczym od chwili zarejestrowania zgłoszenia o awarii przekazanej e-mailem lub telefonicznie; z zastrzeżeniem, że:</w:t>
            </w:r>
          </w:p>
          <w:p w14:paraId="61FF4C69" w14:textId="77777777" w:rsidR="00F40E4C" w:rsidRPr="003F5DE1" w:rsidRDefault="007C2A0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- Zamawiający ma możliwość zgłoszenia awarii przez całą dobę.</w:t>
            </w:r>
          </w:p>
          <w:p w14:paraId="1A2349E3" w14:textId="77777777" w:rsidR="00F40E4C" w:rsidRPr="003F5DE1" w:rsidRDefault="007C2A0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 xml:space="preserve">- Zgłoszone przez Zamawiającego awarie po godzinie 16 w dni robocze (poniedziałek - piątek), w dni wolne od pracy (sobota-niedziela) oraz w dni ustawowo wolne (święta) będą rejestrowane w najbliższy dzień roboczy. </w:t>
            </w:r>
          </w:p>
          <w:p w14:paraId="56D658F6" w14:textId="77777777" w:rsidR="00F40E4C" w:rsidRPr="003F5DE1" w:rsidRDefault="007C2A0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eastAsia="MS Mincho" w:cstheme="minorHAnsi"/>
                <w:sz w:val="24"/>
                <w:szCs w:val="24"/>
                <w:lang w:eastAsia="ja-JP"/>
              </w:rPr>
              <w:t xml:space="preserve">Przez okres gwarancji wszystkie czynności wymagane do jej zachowania, a w szczególności konserwacja, naprawy mechaniczne, przeglądy techniczne i serwis będą wykonywane przez autoryzowany serwis producenta. </w:t>
            </w:r>
            <w:r w:rsidRPr="003F5DE1">
              <w:rPr>
                <w:rFonts w:cstheme="minorHAnsi"/>
                <w:sz w:val="24"/>
                <w:szCs w:val="24"/>
              </w:rPr>
              <w:t>J</w:t>
            </w:r>
            <w:r w:rsidRPr="003F5DE1">
              <w:rPr>
                <w:rFonts w:eastAsia="MS Mincho" w:cstheme="minorHAnsi"/>
                <w:sz w:val="24"/>
                <w:szCs w:val="24"/>
                <w:lang w:eastAsia="ja-JP"/>
              </w:rPr>
              <w:t>eżeli nie ma możliwości usunięcia awarii w miejscu zainstalowania przedmiotu zamówienia</w:t>
            </w:r>
            <w:r w:rsidRPr="003F5DE1">
              <w:rPr>
                <w:rFonts w:cstheme="minorHAnsi"/>
                <w:sz w:val="24"/>
                <w:szCs w:val="24"/>
              </w:rPr>
              <w:t xml:space="preserve"> ewentualny koszt transportu przedmiotu zamówienia do miejsca naprawy i z powrotem do miejsca instalacji u Zamawiającego musi być ujęty w cenie oferty.</w:t>
            </w:r>
          </w:p>
          <w:p w14:paraId="781FCADA" w14:textId="5B837F42" w:rsidR="00F40E4C" w:rsidRPr="003F5DE1" w:rsidRDefault="007C2A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 xml:space="preserve">Zamawiający wymaga, aby Serwis gwarancyjny świadczony </w:t>
            </w:r>
            <w:r>
              <w:rPr>
                <w:rFonts w:cstheme="minorHAnsi"/>
                <w:sz w:val="24"/>
                <w:szCs w:val="24"/>
              </w:rPr>
              <w:t xml:space="preserve">był wyłącznie przez producenta oferowanego sprzętu lub przez jego autoryzowany </w:t>
            </w:r>
            <w:r w:rsidRPr="003F5DE1">
              <w:rPr>
                <w:rFonts w:cstheme="minorHAnsi"/>
                <w:sz w:val="24"/>
                <w:szCs w:val="24"/>
              </w:rPr>
              <w:t>serwis, w tym celu Wykonawca wykupi/zapewni pełne wsparcie producenta (Opiekę serwisową) dla Zamawiającego przez okres obowiązywania gwarancji.</w:t>
            </w:r>
          </w:p>
          <w:p w14:paraId="76B60634" w14:textId="5EB5F2CC" w:rsidR="00F40E4C" w:rsidRPr="003F5DE1" w:rsidRDefault="007C2A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46"/>
              <w:jc w:val="both"/>
              <w:rPr>
                <w:rFonts w:cstheme="minorHAnsi"/>
                <w:strike/>
                <w:color w:val="FF0000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 xml:space="preserve">Podmiot serwisujący sprzęt musi posiadać certyfikat ISO 9001 na świadczenie usług serwisowych. </w:t>
            </w:r>
          </w:p>
          <w:p w14:paraId="4018E038" w14:textId="77777777" w:rsidR="00F40E4C" w:rsidRDefault="007C2A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sprawdzenia statusu gwarancji poprzez stronę producenta serwera lub e-mail wsparcia producenta podając unikatowy numer urządzenia.</w:t>
            </w:r>
          </w:p>
          <w:p w14:paraId="155E8A68" w14:textId="2C8EA3BB" w:rsidR="00F40E4C" w:rsidRDefault="007C2A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darmowego pobierania aktualizacji firmware i sterowników bezpośrednio ze strony producenta serwera po ustaniu wsparcia serwisowego.</w:t>
            </w:r>
          </w:p>
        </w:tc>
      </w:tr>
      <w:tr w:rsidR="00F40E4C" w14:paraId="251E0602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F5B3FA4" w14:textId="77777777" w:rsidR="00F40E4C" w:rsidRDefault="007C2A09">
            <w:pPr>
              <w:spacing w:line="276" w:lineRule="auto"/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AA554FD" w14:textId="77777777" w:rsidR="00F40E4C" w:rsidRDefault="007C2A0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Usługi wsparcia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42A8" w14:textId="77777777" w:rsidR="00F40E4C" w:rsidRDefault="007C2A09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Zamawiający wymaga świadczenia usługi serwisowej polegającej na diagnostyce, naprawie urządzeń będących przedmiotem zamówienia. </w:t>
            </w:r>
          </w:p>
          <w:p w14:paraId="6B9BEB37" w14:textId="77777777" w:rsidR="00F40E4C" w:rsidRDefault="007C2A09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Wszelkie zdarzenia i Awarie będą zgłaszane przez Zamawiającego do Wykonawcy jako Zgłoszenia Serwisowe w Systemie Obsługi Zgłoszeń. </w:t>
            </w:r>
          </w:p>
          <w:p w14:paraId="579B820F" w14:textId="77777777" w:rsidR="00F40E4C" w:rsidRDefault="007C2A09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Dostawca zapewni koordynatora kontraktu serwisowego. Osoba taka zapewni na rzecz zamawiającego działania proaktywne:</w:t>
            </w:r>
          </w:p>
          <w:p w14:paraId="03D954A4" w14:textId="77777777" w:rsidR="00F40E4C" w:rsidRDefault="007C2A09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cokwartalne spotkania w celu posumowania zgłoszeń z ubiegłego kwartału</w:t>
            </w:r>
          </w:p>
          <w:p w14:paraId="4390CD3A" w14:textId="77777777" w:rsidR="00F40E4C" w:rsidRDefault="007C2A09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analiza i rekomendacje odnośnie poprawek/firmware do zainstalowania na dostarczonych serwerach. Analiza powinna obejmować również systemy operacyjne, które zostaną zainstalowane na serwerach. </w:t>
            </w:r>
          </w:p>
        </w:tc>
      </w:tr>
      <w:tr w:rsidR="00F40E4C" w14:paraId="049FCD42" w14:textId="77777777">
        <w:trPr>
          <w:trHeight w:val="6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D94FB3" w14:textId="77777777" w:rsidR="00F40E4C" w:rsidRPr="003F5DE1" w:rsidRDefault="007C2A09">
            <w:pPr>
              <w:spacing w:line="276" w:lineRule="auto"/>
              <w:ind w:left="-28" w:right="-369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AD338C1" w14:textId="77777777" w:rsidR="00F40E4C" w:rsidRPr="003F5DE1" w:rsidRDefault="007C2A0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Instalacja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51CD5" w14:textId="77777777" w:rsidR="00F40E4C" w:rsidRDefault="007C2A09">
            <w:pPr>
              <w:pStyle w:val="Akapitzlist"/>
              <w:ind w:left="3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Wykonawca jest zobowiązany zainstalować przedmiot umowy w miejscu wskazanym przez Zamawiającego. Wykonawca musi też zainstalować na serwerach najnowsze oprogramowanie firmware producenta oraz podłączyć do infrastruktury kablowej wskazanej przez Zamawiającego.</w:t>
            </w:r>
          </w:p>
        </w:tc>
      </w:tr>
      <w:tr w:rsidR="00F40E4C" w14:paraId="26B415D9" w14:textId="77777777">
        <w:trPr>
          <w:trHeight w:val="930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1920119" w14:textId="77777777" w:rsidR="00F40E4C" w:rsidRDefault="007C2A09">
            <w:pPr>
              <w:spacing w:line="276" w:lineRule="auto"/>
              <w:ind w:left="-28" w:right="-369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40BE53" w14:textId="77777777" w:rsidR="00F40E4C" w:rsidRDefault="007C2A0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Inne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505F" w14:textId="77777777" w:rsidR="00F40E4C" w:rsidRPr="003F5DE1" w:rsidRDefault="007C2A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Dostarczony sprzęt musi być fabrycznie nowy i musi pochodzić z </w:t>
            </w:r>
            <w:r w:rsidRPr="003F5DE1">
              <w:rPr>
                <w:rFonts w:cstheme="minorHAnsi"/>
                <w:sz w:val="24"/>
                <w:szCs w:val="24"/>
              </w:rPr>
              <w:t>oficjalnego kanału sprzedaży producenta na rynek polski.</w:t>
            </w:r>
          </w:p>
          <w:p w14:paraId="5661FFC3" w14:textId="77777777" w:rsidR="00F40E4C" w:rsidRPr="003F5DE1" w:rsidRDefault="007C2A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37"/>
              <w:jc w:val="both"/>
              <w:rPr>
                <w:rFonts w:cstheme="minorHAnsi"/>
                <w:sz w:val="24"/>
                <w:szCs w:val="24"/>
              </w:rPr>
            </w:pPr>
            <w:r w:rsidRPr="003F5DE1">
              <w:rPr>
                <w:rFonts w:cstheme="minorHAnsi"/>
                <w:sz w:val="24"/>
                <w:szCs w:val="24"/>
              </w:rPr>
              <w:t>Zamawiający wymaga, a Wykonawca poświadcza odpowiednim certyfikatem, że usługi są zgodne z normami bezpieczeństwa informacji ISO 27001 w zakresie wdrożenia/instalacji</w:t>
            </w:r>
          </w:p>
          <w:p w14:paraId="089DBEF9" w14:textId="77777777" w:rsidR="00F40E4C" w:rsidRDefault="00F40E4C">
            <w:pPr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65B6F2EE" w14:textId="77777777" w:rsidR="00F40E4C" w:rsidRDefault="007C2A09">
      <w:pPr>
        <w:spacing w:afterAutospacing="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36929124" w14:textId="77777777" w:rsidR="00F40E4C" w:rsidRDefault="007C2A09">
      <w:pPr>
        <w:spacing w:afterAutospacing="1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2024 r., poz. 1411 ze zm.)</w:t>
      </w:r>
    </w:p>
    <w:p w14:paraId="2FD6F582" w14:textId="77777777" w:rsidR="00F40E4C" w:rsidRDefault="00F40E4C">
      <w:pPr>
        <w:tabs>
          <w:tab w:val="left" w:pos="5805"/>
        </w:tabs>
        <w:rPr>
          <w:rFonts w:cstheme="minorHAnsi"/>
          <w:sz w:val="24"/>
          <w:szCs w:val="24"/>
        </w:rPr>
      </w:pPr>
    </w:p>
    <w:p w14:paraId="6495577D" w14:textId="77777777" w:rsidR="00F40E4C" w:rsidRDefault="00F40E4C">
      <w:pPr>
        <w:rPr>
          <w:rFonts w:cstheme="minorHAnsi"/>
          <w:sz w:val="24"/>
          <w:szCs w:val="24"/>
        </w:rPr>
      </w:pPr>
    </w:p>
    <w:sectPr w:rsidR="00F40E4C">
      <w:pgSz w:w="11906" w:h="16838"/>
      <w:pgMar w:top="1417" w:right="1417" w:bottom="1560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E53C" w14:textId="77777777" w:rsidR="00DD27A0" w:rsidRDefault="00DD27A0">
      <w:pPr>
        <w:spacing w:after="0" w:line="240" w:lineRule="auto"/>
      </w:pPr>
      <w:r>
        <w:separator/>
      </w:r>
    </w:p>
  </w:endnote>
  <w:endnote w:type="continuationSeparator" w:id="0">
    <w:p w14:paraId="0CE61B82" w14:textId="77777777" w:rsidR="00DD27A0" w:rsidRDefault="00DD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EF9E" w14:textId="77777777" w:rsidR="00DD27A0" w:rsidRDefault="00DD27A0">
      <w:pPr>
        <w:rPr>
          <w:sz w:val="12"/>
        </w:rPr>
      </w:pPr>
      <w:r>
        <w:separator/>
      </w:r>
    </w:p>
  </w:footnote>
  <w:footnote w:type="continuationSeparator" w:id="0">
    <w:p w14:paraId="2887DAB8" w14:textId="77777777" w:rsidR="00DD27A0" w:rsidRDefault="00DD27A0">
      <w:pPr>
        <w:rPr>
          <w:sz w:val="12"/>
        </w:rPr>
      </w:pPr>
      <w:r>
        <w:continuationSeparator/>
      </w:r>
    </w:p>
  </w:footnote>
  <w:footnote w:id="1">
    <w:p w14:paraId="291A0E9D" w14:textId="77777777" w:rsidR="001C522D" w:rsidRPr="00097900" w:rsidRDefault="007C2A09" w:rsidP="001C522D">
      <w:pPr>
        <w:pStyle w:val="Tekstprzypisudolnego"/>
      </w:pPr>
      <w:r>
        <w:rPr>
          <w:rStyle w:val="Znakiprzypiswdolnych"/>
        </w:rPr>
        <w:footnoteRef/>
      </w:r>
      <w:r>
        <w:rPr>
          <w:color w:val="FF0000"/>
        </w:rPr>
        <w:t xml:space="preserve"> </w:t>
      </w:r>
      <w:r w:rsidR="001C522D" w:rsidRPr="00097900">
        <w:t>Procesor, którego wynik testu PassMark CPU Benchmarks -  Multiple CPU Systems publikowany jest na stronie</w:t>
      </w:r>
    </w:p>
    <w:p w14:paraId="67AF76DF" w14:textId="77777777" w:rsidR="001C522D" w:rsidRPr="00097900" w:rsidRDefault="001C522D" w:rsidP="001C522D">
      <w:pPr>
        <w:pStyle w:val="Tekstprzypisudolnego"/>
      </w:pPr>
      <w:r w:rsidRPr="00097900">
        <w:t xml:space="preserve">https://www.cpubenchmark.net/multi_cpu.html </w:t>
      </w:r>
    </w:p>
    <w:p w14:paraId="5170410C" w14:textId="43F4BEF4" w:rsidR="001C522D" w:rsidRPr="00097900" w:rsidRDefault="001C522D" w:rsidP="001C522D">
      <w:pPr>
        <w:pStyle w:val="Tekstprzypisudolnego"/>
      </w:pPr>
      <w:r w:rsidRPr="00097900">
        <w:t xml:space="preserve">Wymóg osiągnięcia w testach PassMark CPU Benchmarks - Multiple CPU Systems wymaganego wyniku dla procesora dotyczy wyniku  osiągniętego na dzień opublikowania ogłoszenia o zamówieniu  w </w:t>
      </w:r>
      <w:r w:rsidR="008A4753">
        <w:t>Dzienniku Urzędowym Unii Europejskiej</w:t>
      </w:r>
      <w:r w:rsidRPr="00097900">
        <w:t xml:space="preserve">  (wyniki testów PassMark CPU Benchmarks Multiple CPU Systems aktualne w dniu opublikowania ogłoszenia Zamawiający udostępnia jako załącznik do SWZ).</w:t>
      </w:r>
    </w:p>
    <w:p w14:paraId="5A7C42BF" w14:textId="77777777" w:rsidR="001C522D" w:rsidRPr="00097900" w:rsidRDefault="001C522D" w:rsidP="001C522D">
      <w:pPr>
        <w:pStyle w:val="Tekstprzypisudolnego"/>
      </w:pPr>
      <w:r w:rsidRPr="00097900">
        <w:t>Do otwarcia pliku zawierającego wyniki ww. testów zalecana jest przeglądarka Microsoft Edge lub Google Chrome).</w:t>
      </w:r>
    </w:p>
    <w:p w14:paraId="6FBDB4E3" w14:textId="6C198DF9" w:rsidR="00F40E4C" w:rsidRPr="00097900" w:rsidRDefault="001C522D" w:rsidP="001C522D">
      <w:pPr>
        <w:pStyle w:val="Tekstprzypisudolnego"/>
      </w:pPr>
      <w:r w:rsidRPr="00097900">
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oferowany procesor wymagań określonych przez Zamawiającego.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22C3A"/>
    <w:multiLevelType w:val="multilevel"/>
    <w:tmpl w:val="E1D4311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0CA3713"/>
    <w:multiLevelType w:val="multilevel"/>
    <w:tmpl w:val="1B7A9CE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D37B9C"/>
    <w:multiLevelType w:val="multilevel"/>
    <w:tmpl w:val="A5A674D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2387194B"/>
    <w:multiLevelType w:val="multilevel"/>
    <w:tmpl w:val="0FB8596E"/>
    <w:lvl w:ilvl="0">
      <w:start w:val="1"/>
      <w:numFmt w:val="lowerLetter"/>
      <w:lvlText w:val="%1)"/>
      <w:lvlJc w:val="left"/>
      <w:pPr>
        <w:tabs>
          <w:tab w:val="num" w:pos="726"/>
        </w:tabs>
        <w:ind w:left="72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  <w:rPr>
        <w:rFonts w:cs="Times New Roman"/>
      </w:rPr>
    </w:lvl>
  </w:abstractNum>
  <w:abstractNum w:abstractNumId="4" w15:restartNumberingAfterBreak="0">
    <w:nsid w:val="2585161B"/>
    <w:multiLevelType w:val="multilevel"/>
    <w:tmpl w:val="6FF220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9C6C71"/>
    <w:multiLevelType w:val="multilevel"/>
    <w:tmpl w:val="CE4244E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0D2BA9"/>
    <w:multiLevelType w:val="multilevel"/>
    <w:tmpl w:val="64D48410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Theme="minorHAnsi" w:hAnsiTheme="minorHAnsi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>
        <w:rFonts w:cs="Times New Roman"/>
      </w:rPr>
    </w:lvl>
  </w:abstractNum>
  <w:abstractNum w:abstractNumId="7" w15:restartNumberingAfterBreak="0">
    <w:nsid w:val="2F7B2C88"/>
    <w:multiLevelType w:val="multilevel"/>
    <w:tmpl w:val="21E82DE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E67EEC"/>
    <w:multiLevelType w:val="multilevel"/>
    <w:tmpl w:val="E866595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371BB3"/>
    <w:multiLevelType w:val="multilevel"/>
    <w:tmpl w:val="BD20FCE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3318E2"/>
    <w:multiLevelType w:val="multilevel"/>
    <w:tmpl w:val="BA5011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FF14CB"/>
    <w:multiLevelType w:val="multilevel"/>
    <w:tmpl w:val="CD8623B0"/>
    <w:lvl w:ilvl="0">
      <w:start w:val="1"/>
      <w:numFmt w:val="lowerLetter"/>
      <w:lvlText w:val="%1)"/>
      <w:lvlJc w:val="left"/>
      <w:pPr>
        <w:tabs>
          <w:tab w:val="num" w:pos="0"/>
        </w:tabs>
        <w:ind w:left="4187" w:hanging="360"/>
      </w:pPr>
      <w:rPr>
        <w:rFonts w:cs="Times New Roman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5400" w:hanging="360"/>
      </w:pPr>
      <w:rPr>
        <w:rFonts w:ascii="Verdana" w:eastAsia="Times New Roman" w:hAnsi="Verdana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F3803E3"/>
    <w:multiLevelType w:val="multilevel"/>
    <w:tmpl w:val="B0C877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421C78D5"/>
    <w:multiLevelType w:val="multilevel"/>
    <w:tmpl w:val="BF440FE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4C2145C5"/>
    <w:multiLevelType w:val="multilevel"/>
    <w:tmpl w:val="98126BB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Calibri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CEF3B27"/>
    <w:multiLevelType w:val="multilevel"/>
    <w:tmpl w:val="12DA8E7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F35B1D"/>
    <w:multiLevelType w:val="multilevel"/>
    <w:tmpl w:val="71A6896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8B36EA"/>
    <w:multiLevelType w:val="multilevel"/>
    <w:tmpl w:val="C8EC7A2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E92487C"/>
    <w:multiLevelType w:val="multilevel"/>
    <w:tmpl w:val="F6166E9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3DC4215"/>
    <w:multiLevelType w:val="multilevel"/>
    <w:tmpl w:val="ACA6CF9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0" w15:restartNumberingAfterBreak="0">
    <w:nsid w:val="6A894A0B"/>
    <w:multiLevelType w:val="multilevel"/>
    <w:tmpl w:val="A382220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D6F0A68"/>
    <w:multiLevelType w:val="multilevel"/>
    <w:tmpl w:val="B4D60CD4"/>
    <w:lvl w:ilvl="0">
      <w:start w:val="1"/>
      <w:numFmt w:val="decimal"/>
      <w:lvlText w:val="%1)"/>
      <w:lvlJc w:val="left"/>
      <w:pPr>
        <w:tabs>
          <w:tab w:val="num" w:pos="0"/>
        </w:tabs>
        <w:ind w:left="4187" w:hanging="360"/>
      </w:pPr>
      <w:rPr>
        <w:rFonts w:cs="Times New Roman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5400" w:hanging="360"/>
      </w:pPr>
      <w:rPr>
        <w:rFonts w:ascii="Verdana" w:eastAsia="Times New Roman" w:hAnsi="Verdana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6351A8B"/>
    <w:multiLevelType w:val="multilevel"/>
    <w:tmpl w:val="E532477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6"/>
  </w:num>
  <w:num w:numId="5">
    <w:abstractNumId w:val="21"/>
  </w:num>
  <w:num w:numId="6">
    <w:abstractNumId w:val="11"/>
  </w:num>
  <w:num w:numId="7">
    <w:abstractNumId w:val="9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7"/>
  </w:num>
  <w:num w:numId="13">
    <w:abstractNumId w:val="5"/>
  </w:num>
  <w:num w:numId="14">
    <w:abstractNumId w:val="1"/>
  </w:num>
  <w:num w:numId="15">
    <w:abstractNumId w:val="17"/>
  </w:num>
  <w:num w:numId="16">
    <w:abstractNumId w:val="2"/>
  </w:num>
  <w:num w:numId="17">
    <w:abstractNumId w:val="20"/>
  </w:num>
  <w:num w:numId="18">
    <w:abstractNumId w:val="15"/>
  </w:num>
  <w:num w:numId="19">
    <w:abstractNumId w:val="14"/>
  </w:num>
  <w:num w:numId="20">
    <w:abstractNumId w:val="22"/>
  </w:num>
  <w:num w:numId="21">
    <w:abstractNumId w:val="4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4C"/>
    <w:rsid w:val="00097900"/>
    <w:rsid w:val="001C522D"/>
    <w:rsid w:val="003F5DE1"/>
    <w:rsid w:val="00584753"/>
    <w:rsid w:val="007C2A09"/>
    <w:rsid w:val="008A4753"/>
    <w:rsid w:val="00DD27A0"/>
    <w:rsid w:val="00F4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216D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0E0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187F7E"/>
    <w:pPr>
      <w:keepNext/>
      <w:numPr>
        <w:numId w:val="1"/>
      </w:numPr>
      <w:spacing w:before="600" w:after="240" w:line="276" w:lineRule="auto"/>
      <w:contextualSpacing/>
      <w:jc w:val="both"/>
      <w:outlineLvl w:val="0"/>
    </w:pPr>
    <w:rPr>
      <w:rFonts w:ascii="Calibri" w:eastAsia="MS Mincho" w:hAnsi="Calibri"/>
      <w:b/>
      <w:bCs/>
      <w:sz w:val="32"/>
      <w:szCs w:val="20"/>
      <w:lang w:eastAsia="ja-JP"/>
    </w:rPr>
  </w:style>
  <w:style w:type="paragraph" w:styleId="Nagwek2">
    <w:name w:val="heading 2"/>
    <w:basedOn w:val="Normalny"/>
    <w:next w:val="Normalny"/>
    <w:link w:val="Nagwek2Znak"/>
    <w:qFormat/>
    <w:rsid w:val="00187F7E"/>
    <w:pPr>
      <w:keepNext/>
      <w:numPr>
        <w:ilvl w:val="1"/>
        <w:numId w:val="1"/>
      </w:numPr>
      <w:spacing w:before="480" w:after="240" w:line="276" w:lineRule="auto"/>
      <w:contextualSpacing/>
      <w:jc w:val="both"/>
      <w:outlineLvl w:val="1"/>
    </w:pPr>
    <w:rPr>
      <w:rFonts w:ascii="Calibri" w:eastAsia="MS Mincho" w:hAnsi="Calibri"/>
      <w:b/>
      <w:sz w:val="28"/>
      <w:szCs w:val="20"/>
      <w:lang w:eastAsia="ja-JP"/>
    </w:rPr>
  </w:style>
  <w:style w:type="paragraph" w:styleId="Nagwek3">
    <w:name w:val="heading 3"/>
    <w:basedOn w:val="Normalny"/>
    <w:next w:val="Normalny"/>
    <w:link w:val="Nagwek3Znak"/>
    <w:qFormat/>
    <w:rsid w:val="00187F7E"/>
    <w:pPr>
      <w:keepNext/>
      <w:numPr>
        <w:ilvl w:val="2"/>
        <w:numId w:val="1"/>
      </w:numPr>
      <w:spacing w:before="240" w:after="120" w:line="276" w:lineRule="auto"/>
      <w:contextualSpacing/>
      <w:jc w:val="both"/>
      <w:outlineLvl w:val="2"/>
    </w:pPr>
    <w:rPr>
      <w:rFonts w:ascii="Calibri" w:hAnsi="Calibri"/>
      <w:b/>
      <w:bCs/>
      <w:sz w:val="24"/>
      <w:szCs w:val="26"/>
      <w:lang w:eastAsia="ja-JP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87F7E"/>
    <w:pPr>
      <w:keepNext/>
      <w:numPr>
        <w:ilvl w:val="3"/>
        <w:numId w:val="1"/>
      </w:numPr>
      <w:spacing w:before="200" w:after="60" w:line="276" w:lineRule="auto"/>
      <w:contextualSpacing/>
      <w:jc w:val="both"/>
      <w:outlineLvl w:val="3"/>
    </w:pPr>
    <w:rPr>
      <w:rFonts w:ascii="Calibri" w:hAnsi="Calibri"/>
      <w:b/>
      <w:bCs/>
      <w:szCs w:val="28"/>
      <w:lang w:eastAsia="ja-JP"/>
    </w:rPr>
  </w:style>
  <w:style w:type="paragraph" w:styleId="Nagwek5">
    <w:name w:val="heading 5"/>
    <w:basedOn w:val="Normalny"/>
    <w:next w:val="Normalny"/>
    <w:link w:val="Nagwek5Znak"/>
    <w:qFormat/>
    <w:rsid w:val="00187F7E"/>
    <w:pPr>
      <w:numPr>
        <w:ilvl w:val="4"/>
        <w:numId w:val="1"/>
      </w:numPr>
      <w:spacing w:before="240" w:after="60" w:line="276" w:lineRule="auto"/>
      <w:contextualSpacing/>
      <w:jc w:val="both"/>
      <w:outlineLvl w:val="4"/>
    </w:pPr>
    <w:rPr>
      <w:rFonts w:ascii="Calibri" w:hAnsi="Calibri"/>
      <w:bCs/>
      <w:iCs/>
      <w:szCs w:val="26"/>
      <w:lang w:eastAsia="ja-JP"/>
    </w:rPr>
  </w:style>
  <w:style w:type="paragraph" w:styleId="Nagwek6">
    <w:name w:val="heading 6"/>
    <w:basedOn w:val="Normalny"/>
    <w:next w:val="Normalny"/>
    <w:link w:val="Nagwek6Znak"/>
    <w:qFormat/>
    <w:rsid w:val="00187F7E"/>
    <w:pPr>
      <w:numPr>
        <w:ilvl w:val="5"/>
        <w:numId w:val="1"/>
      </w:numPr>
      <w:spacing w:before="240" w:after="60" w:line="276" w:lineRule="auto"/>
      <w:contextualSpacing/>
      <w:jc w:val="both"/>
      <w:outlineLvl w:val="5"/>
    </w:pPr>
    <w:rPr>
      <w:rFonts w:ascii="Calibri" w:hAnsi="Calibri"/>
      <w:b/>
      <w:bCs/>
      <w:lang w:eastAsia="ja-JP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7F7E"/>
    <w:pPr>
      <w:numPr>
        <w:ilvl w:val="6"/>
        <w:numId w:val="1"/>
      </w:numPr>
      <w:spacing w:before="240" w:after="60" w:line="276" w:lineRule="auto"/>
      <w:contextualSpacing/>
      <w:jc w:val="both"/>
      <w:outlineLvl w:val="6"/>
    </w:pPr>
    <w:rPr>
      <w:rFonts w:ascii="Calibri" w:hAnsi="Calibri"/>
      <w:sz w:val="24"/>
      <w:szCs w:val="24"/>
      <w:lang w:eastAsia="ja-JP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7F7E"/>
    <w:pPr>
      <w:numPr>
        <w:ilvl w:val="7"/>
        <w:numId w:val="1"/>
      </w:numPr>
      <w:spacing w:before="240" w:after="60" w:line="276" w:lineRule="auto"/>
      <w:contextualSpacing/>
      <w:jc w:val="both"/>
      <w:outlineLvl w:val="7"/>
    </w:pPr>
    <w:rPr>
      <w:rFonts w:ascii="Calibri" w:hAnsi="Calibri"/>
      <w:i/>
      <w:iCs/>
      <w:sz w:val="24"/>
      <w:szCs w:val="24"/>
      <w:lang w:eastAsia="ja-JP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7F7E"/>
    <w:pPr>
      <w:numPr>
        <w:ilvl w:val="8"/>
        <w:numId w:val="1"/>
      </w:numPr>
      <w:spacing w:before="240" w:after="60" w:line="276" w:lineRule="auto"/>
      <w:contextualSpacing/>
      <w:jc w:val="both"/>
      <w:outlineLvl w:val="8"/>
    </w:pPr>
    <w:rPr>
      <w:rFonts w:ascii="Cambria" w:hAnsi="Cambria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DA1F1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15"/>
    <w:qFormat/>
    <w:rsid w:val="006C6E5A"/>
    <w:rPr>
      <w:rFonts w:ascii="Arial" w:eastAsia="Andale Sans UI" w:hAnsi="Arial" w:cs="Arial"/>
      <w:kern w:val="2"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C6E5A"/>
    <w:rPr>
      <w:rFonts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7F7E"/>
    <w:rPr>
      <w:rFonts w:cs="Times New Roman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187F7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187F7E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qFormat/>
    <w:rsid w:val="00187F7E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qFormat/>
    <w:rsid w:val="00187F7E"/>
    <w:rPr>
      <w:rFonts w:ascii="Calibri" w:hAnsi="Calibri" w:cs="Times New Roman"/>
      <w:b/>
      <w:bCs/>
      <w:sz w:val="24"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187F7E"/>
    <w:rPr>
      <w:rFonts w:ascii="Calibri" w:hAnsi="Calibri" w:cs="Times New Roman"/>
      <w:b/>
      <w:bCs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qFormat/>
    <w:rsid w:val="00187F7E"/>
    <w:rPr>
      <w:rFonts w:ascii="Calibri" w:hAnsi="Calibri" w:cs="Times New Roman"/>
      <w:bCs/>
      <w:iCs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qFormat/>
    <w:rsid w:val="00187F7E"/>
    <w:rPr>
      <w:rFonts w:ascii="Calibri" w:hAnsi="Calibri" w:cs="Times New Roman"/>
      <w:b/>
      <w:bCs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187F7E"/>
    <w:rPr>
      <w:rFonts w:ascii="Calibri" w:hAnsi="Calibri" w:cs="Times New Roman"/>
      <w:sz w:val="24"/>
      <w:szCs w:val="24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187F7E"/>
    <w:rPr>
      <w:rFonts w:ascii="Calibri" w:hAnsi="Calibri" w:cs="Times New Roman"/>
      <w:i/>
      <w:iCs/>
      <w:sz w:val="24"/>
      <w:szCs w:val="24"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187F7E"/>
    <w:rPr>
      <w:rFonts w:ascii="Cambria" w:hAnsi="Cambria" w:cs="Times New Roman"/>
      <w:lang w:eastAsia="ja-JP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15"/>
    <w:rsid w:val="006C6E5A"/>
    <w:pPr>
      <w:keepNext/>
      <w:widowControl w:val="0"/>
      <w:spacing w:before="240" w:after="120" w:line="240" w:lineRule="auto"/>
    </w:pPr>
    <w:rPr>
      <w:rFonts w:ascii="Arial" w:eastAsia="Andale Sans UI" w:hAnsi="Arial" w:cs="Arial"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E5A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34"/>
    <w:qFormat/>
    <w:rsid w:val="00DA1F13"/>
    <w:pPr>
      <w:ind w:left="720"/>
      <w:contextualSpacing/>
    </w:pPr>
  </w:style>
  <w:style w:type="paragraph" w:customStyle="1" w:styleId="xmsonormal">
    <w:name w:val="x_msonormal"/>
    <w:basedOn w:val="Normalny"/>
    <w:qFormat/>
    <w:rsid w:val="006A0E68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187F7E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BB138A"/>
    <w:rPr>
      <w:rFonts w:eastAsiaTheme="minorEastAsia" w:cstheme="minorBid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DC431-64D4-4648-B0D8-B5743C516A3E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customXml/itemProps2.xml><?xml version="1.0" encoding="utf-8"?>
<ds:datastoreItem xmlns:ds="http://schemas.openxmlformats.org/officeDocument/2006/customXml" ds:itemID="{88EBFF1D-CD11-40EF-BF9D-7D0305844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0B5DE-8AF4-4CA8-B51D-B2F8F32A57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533C67-964F-45ED-B0DB-AEC99A23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1603</Words>
  <Characters>9623</Characters>
  <Application>Microsoft Office Word</Application>
  <DocSecurity>0</DocSecurity>
  <Lines>80</Lines>
  <Paragraphs>22</Paragraphs>
  <ScaleCrop>false</ScaleCrop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 Karol</dc:creator>
  <dc:description/>
  <cp:lastModifiedBy>Paweł Starczewski</cp:lastModifiedBy>
  <cp:revision>6</cp:revision>
  <dcterms:created xsi:type="dcterms:W3CDTF">2025-03-13T10:19:00Z</dcterms:created>
  <dcterms:modified xsi:type="dcterms:W3CDTF">2025-03-19T07:49:00Z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0x01010022ECCF0A21D16D41A0DA8C8838E228F8</vt:lpwstr>
  </property>
  <property fmtid="{D5CDD505-2E9C-101B-9397-08002B2CF9AE}" pid="3" name="MediaServiceImageTags">
    <vt:lpwstr/>
  </property>
</Properties>
</file>