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A206" w14:textId="77777777" w:rsidR="004879CE" w:rsidRDefault="00584556">
      <w:pPr>
        <w:spacing w:line="240" w:lineRule="auto"/>
        <w:ind w:firstLine="142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595383AB" wp14:editId="73EF27A9">
            <wp:simplePos x="0" y="0"/>
            <wp:positionH relativeFrom="margin">
              <wp:posOffset>1514475</wp:posOffset>
            </wp:positionH>
            <wp:positionV relativeFrom="page">
              <wp:posOffset>414655</wp:posOffset>
            </wp:positionV>
            <wp:extent cx="2510790" cy="714375"/>
            <wp:effectExtent l="0" t="0" r="0" b="0"/>
            <wp:wrapTopAndBottom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D/15/2025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załącznik nr 1.3</w:t>
      </w:r>
    </w:p>
    <w:p w14:paraId="4874B179" w14:textId="77777777" w:rsidR="004879CE" w:rsidRDefault="00584556">
      <w:pPr>
        <w:spacing w:after="36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b/>
          <w:caps/>
          <w:sz w:val="24"/>
          <w:szCs w:val="24"/>
        </w:rPr>
        <w:t>Opis przedmiotu zamówienia</w:t>
      </w:r>
    </w:p>
    <w:p w14:paraId="3FC93B02" w14:textId="77777777" w:rsidR="004879CE" w:rsidRDefault="004879CE">
      <w:pPr>
        <w:spacing w:line="240" w:lineRule="auto"/>
        <w:ind w:firstLine="142"/>
        <w:jc w:val="right"/>
        <w:rPr>
          <w:rFonts w:cstheme="minorHAnsi"/>
          <w:sz w:val="24"/>
          <w:szCs w:val="24"/>
        </w:rPr>
      </w:pPr>
    </w:p>
    <w:p w14:paraId="25E9A394" w14:textId="77777777" w:rsidR="004879CE" w:rsidRDefault="00584556">
      <w:pPr>
        <w:spacing w:after="0" w:line="240" w:lineRule="auto"/>
        <w:jc w:val="center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Przedmiot zamówienia: </w:t>
      </w:r>
      <w:r>
        <w:rPr>
          <w:rFonts w:cstheme="minorHAnsi"/>
          <w:b/>
          <w:sz w:val="24"/>
          <w:szCs w:val="24"/>
          <w:lang w:eastAsia="pl-PL"/>
        </w:rPr>
        <w:t>„Zakup i dostawa urządzeń aktywnych na potrzeby Centrum Nowoczesnych Technologii Uniwersytetu Opolskiego.”</w:t>
      </w:r>
    </w:p>
    <w:p w14:paraId="0F35352B" w14:textId="77777777" w:rsidR="004879CE" w:rsidRDefault="004879CE">
      <w:pPr>
        <w:pStyle w:val="Nagwek"/>
        <w:pBdr>
          <w:bottom w:val="thickThinSmallGap" w:sz="24" w:space="9" w:color="800000"/>
        </w:pBdr>
        <w:spacing w:before="0" w:after="0"/>
        <w:rPr>
          <w:rFonts w:asciiTheme="minorHAnsi" w:hAnsiTheme="minorHAnsi" w:cstheme="minorHAnsi"/>
          <w:b/>
          <w:i/>
          <w:sz w:val="24"/>
          <w:szCs w:val="24"/>
        </w:rPr>
      </w:pPr>
    </w:p>
    <w:p w14:paraId="07456247" w14:textId="45C31F85" w:rsidR="004879CE" w:rsidRDefault="00584556">
      <w:pPr>
        <w:spacing w:line="240" w:lineRule="auto"/>
        <w:jc w:val="left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część nr 3, pn.: </w:t>
      </w:r>
      <w:r>
        <w:rPr>
          <w:rFonts w:cstheme="minorHAnsi"/>
          <w:b/>
          <w:i/>
          <w:sz w:val="24"/>
          <w:szCs w:val="24"/>
        </w:rPr>
        <w:t>„</w:t>
      </w:r>
      <w:r w:rsidRPr="00584556">
        <w:rPr>
          <w:rFonts w:cstheme="minorHAnsi"/>
          <w:b/>
          <w:i/>
          <w:sz w:val="24"/>
          <w:szCs w:val="24"/>
        </w:rPr>
        <w:t>Zakup i dostawa serwerów pamięci masowej – 2 szt.</w:t>
      </w:r>
      <w:r>
        <w:rPr>
          <w:rFonts w:cstheme="minorHAnsi"/>
          <w:b/>
          <w:i/>
          <w:sz w:val="24"/>
          <w:szCs w:val="24"/>
        </w:rPr>
        <w:t>”</w:t>
      </w:r>
    </w:p>
    <w:p w14:paraId="0BD8055A" w14:textId="77777777" w:rsidR="004879CE" w:rsidRDefault="004879CE">
      <w:pPr>
        <w:spacing w:line="240" w:lineRule="auto"/>
        <w:jc w:val="left"/>
        <w:rPr>
          <w:rFonts w:cstheme="minorHAnsi"/>
          <w:b/>
          <w:sz w:val="24"/>
          <w:szCs w:val="24"/>
          <w:lang w:val="en-US"/>
        </w:rPr>
      </w:pPr>
    </w:p>
    <w:tbl>
      <w:tblPr>
        <w:tblStyle w:val="Tabela-EleganckiAW"/>
        <w:tblW w:w="9333" w:type="dxa"/>
        <w:tblLayout w:type="fixed"/>
        <w:tblLook w:val="00A0" w:firstRow="1" w:lastRow="0" w:firstColumn="1" w:lastColumn="0" w:noHBand="0" w:noVBand="0"/>
      </w:tblPr>
      <w:tblGrid>
        <w:gridCol w:w="544"/>
        <w:gridCol w:w="1558"/>
        <w:gridCol w:w="7231"/>
      </w:tblGrid>
      <w:tr w:rsidR="004879CE" w14:paraId="51A5D05D" w14:textId="77777777" w:rsidTr="00487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521313" w14:textId="77777777" w:rsidR="004879CE" w:rsidRDefault="00584556">
            <w:pPr>
              <w:spacing w:line="240" w:lineRule="auto"/>
              <w:ind w:hanging="3"/>
              <w:jc w:val="left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caps w:val="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78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14:paraId="5CB2C7BF" w14:textId="77777777" w:rsidR="004879CE" w:rsidRDefault="00584556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wymagane przez zamawiającego</w:t>
            </w:r>
          </w:p>
        </w:tc>
      </w:tr>
      <w:tr w:rsidR="004879CE" w14:paraId="40A521D4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3761CA" w14:textId="77777777" w:rsidR="004879CE" w:rsidRDefault="004879CE">
            <w:pPr>
              <w:pStyle w:val="Akapitzlist"/>
              <w:numPr>
                <w:ilvl w:val="0"/>
                <w:numId w:val="2"/>
              </w:numPr>
              <w:tabs>
                <w:tab w:val="left" w:pos="154"/>
              </w:tabs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4AF72B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D0219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Obudowa do montażu w szafie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rack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19” za pomocą dostarczonych dedykowanych elementów. 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przekroczyć rozmiaru 4U. Oferowana obudowa musi umożliwiać instalację min 24 dysków.</w:t>
            </w:r>
          </w:p>
        </w:tc>
      </w:tr>
      <w:tr w:rsidR="004879CE" w14:paraId="511BD85A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A0F8D9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B8CAC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Kontrolery dyskowe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49039A" w14:textId="0D383E6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wyposażony w minimum 2 kontrolery pracujące w trybie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active-active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Akceptowalna architektura to </w:t>
            </w:r>
            <w:proofErr w:type="spellStart"/>
            <w:r>
              <w:rPr>
                <w:rFonts w:cstheme="minorHAnsi"/>
                <w:sz w:val="24"/>
                <w:szCs w:val="24"/>
              </w:rPr>
              <w:t>symmetric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active-active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(SAN-</w:t>
            </w:r>
            <w:proofErr w:type="spellStart"/>
            <w:r>
              <w:rPr>
                <w:rFonts w:cstheme="minorHAnsi"/>
                <w:sz w:val="24"/>
                <w:szCs w:val="24"/>
              </w:rPr>
              <w:t>only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), co oznacza, że kontrolery pracują w trybie zapewniającym dostęp do </w:t>
            </w:r>
            <w:r w:rsidRPr="00584556">
              <w:rPr>
                <w:rFonts w:cstheme="minorHAnsi"/>
                <w:sz w:val="24"/>
                <w:szCs w:val="24"/>
              </w:rPr>
              <w:t xml:space="preserve">wolumenów logicznych (LUN) utworzonych w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serwerze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>, z wykorzystaniem wszystkich dostępnych ścieżek (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path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>) i portów kontrolerów bez wymuszania preferowanej ścieżki dostępu oraz z zapewnieniem automatycznego równoważenia obciążenia (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load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balancing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). Kontrolery nie mogą pracować w trybie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active-passive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. Kontrolery muszą komunikować się z dyskami protokołem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. </w:t>
            </w: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rozbudowę do co najmniej 4 kontrolerów tworząc logicznie jeden s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zarządzany z jednego interfejsu. Zastosowanie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wirtualizatora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jest dopuszczalne.</w:t>
            </w:r>
          </w:p>
        </w:tc>
      </w:tr>
      <w:tr w:rsidR="004879CE" w14:paraId="192E33FC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447D16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2386A8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Zasilanie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5B934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Oferowane urządzenie musi być przystosowane do zasilania z sieci AC oraz wyposażone w kable zasilające PDU.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być wyposażony w zdublowany, redundantny system zasilania, umożliwiający prawidłową, nieprzerwaną pracę urządzenia w przypadku awarii dowolnego pojedynczego źródła zasilania.</w:t>
            </w:r>
          </w:p>
        </w:tc>
      </w:tr>
      <w:tr w:rsidR="004879CE" w14:paraId="266410B9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C8D039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CEB44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Redundancja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E7097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posiadać pojedynczego punktu awarii (SPOF), który powodowałby brak dostępu do danych. Wszystkie krytyczne komponenty takie jak kontrolery, pamięć, zasilacze i wentylatory muszą być zaprojektowane nadmiarowo.</w:t>
            </w:r>
          </w:p>
        </w:tc>
      </w:tr>
      <w:tr w:rsidR="004879CE" w14:paraId="24E2DDA4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E25CE6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12DFA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Wydajność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1A4243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oferowanej konfiguracji w teście wydajnościowym osiągnie min. 230 000 IOPS przy następujących parametrach:</w:t>
            </w:r>
          </w:p>
          <w:p w14:paraId="5F6CDA48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Zapełnienie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min. 80% fizycznej pojemności,</w:t>
            </w:r>
          </w:p>
          <w:p w14:paraId="6DFEE31B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Protokół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: iSCSI,</w:t>
            </w:r>
          </w:p>
          <w:p w14:paraId="665B72AD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Porty: 25G,</w:t>
            </w:r>
          </w:p>
          <w:p w14:paraId="5D4B3807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Read 80% 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blok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8k,</w:t>
            </w:r>
          </w:p>
          <w:p w14:paraId="29B154F0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Write 20% 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blok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8k,</w:t>
            </w:r>
          </w:p>
          <w:p w14:paraId="13144059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- 100% Random</w:t>
            </w:r>
          </w:p>
          <w:p w14:paraId="0AF562EA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Read Hit Ratio – 0%</w:t>
            </w:r>
          </w:p>
          <w:p w14:paraId="02E0508D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Write Hit Ratio – 0%</w:t>
            </w:r>
          </w:p>
          <w:p w14:paraId="727EE4C5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poniżej 1ms</w:t>
            </w:r>
          </w:p>
          <w:p w14:paraId="091B5893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RAID 6 (lub równoważny)</w:t>
            </w:r>
          </w:p>
          <w:p w14:paraId="7921C54F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 kompresja – włączone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włączone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dedupratio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=2,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compratio</w:t>
            </w:r>
            <w:proofErr w:type="spellEnd"/>
            <w:r>
              <w:rPr>
                <w:rFonts w:cstheme="minorHAnsi"/>
                <w:sz w:val="24"/>
                <w:szCs w:val="24"/>
              </w:rPr>
              <w:t>=2)</w:t>
            </w:r>
          </w:p>
          <w:p w14:paraId="1F9B539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Zamawiający ma prawo przeprowadzić test po dostawie s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aby sprawdzić czy dostarczone rozwiązanie osiąga deklarowane parametry wydajnościowe. Wydajność średnia nie mniejsza niż 230 000 IOPS uzyskiwana przez co najmniej 180 min testu. </w:t>
            </w:r>
            <w:r>
              <w:rPr>
                <w:rFonts w:cstheme="minorHAnsi"/>
                <w:iCs/>
                <w:sz w:val="24"/>
                <w:szCs w:val="24"/>
              </w:rPr>
              <w:t>Środowisko testowe – serwery wirtualne.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Ewentualny test zostanie przeprowadzony ogólnodostępnym narzędziem </w:t>
            </w:r>
            <w:proofErr w:type="spellStart"/>
            <w:r>
              <w:rPr>
                <w:rFonts w:cstheme="minorHAnsi"/>
                <w:sz w:val="24"/>
                <w:szCs w:val="24"/>
              </w:rPr>
              <w:t>Vdbench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879CE" w14:paraId="3C69C17E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5D93E0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FED42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przestrzeń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1E164B" w14:textId="77777777" w:rsidR="004879CE" w:rsidRDefault="00584556">
            <w:pPr>
              <w:spacing w:line="240" w:lineRule="auto"/>
              <w:rPr>
                <w:rFonts w:cstheme="minorHAnsi"/>
                <w:color w:val="FF0000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Fizyczna przestrzeń dyskowa zbudowana tylko i wyłącznie za pomocą  dysków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>. Przestrzeń użytkowa po zbudowaniu RAID 6 (lub równoważnym) z 1 dyskiem/modułem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przestrzenią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równą pojemności 1 dysku/modułu musi wynosić min 120 TB.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Ze względów wydajnościowych oraz niezawodnościowych pojemność RAW pojedynczego dysku/modułu nie może być większa niż 8 TB</w:t>
            </w:r>
          </w:p>
          <w:p w14:paraId="6249F63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jest dozwolone użycie dysków z chipsetem QLC ze względu na ich krótszą żywotność i dłuższe czasy odpowiedzi.</w:t>
            </w:r>
          </w:p>
          <w:p w14:paraId="4A7773F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Wymagana pojemność użytkowa rozumiana jest jako pojemność dostępna po konfiguracji RAID i odliczeniu rezerwy na dyski/przestrzeń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i dostępna dla hostów bez uwzględnienia jakichkolwiek mechanizmów kompresji, czy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 xml:space="preserve">Dyski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/moduły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muszą być wyposażone w podwójne, redundantne interfejsy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PCIe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63A7EE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rozbudowę do min 48 dysków tego samego typu, czyli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bez konieczności </w:t>
            </w:r>
            <w:proofErr w:type="spellStart"/>
            <w:r>
              <w:rPr>
                <w:rFonts w:cstheme="minorHAnsi"/>
                <w:sz w:val="24"/>
                <w:szCs w:val="24"/>
              </w:rPr>
              <w:t>klastrowania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dodatkowych kontrolerów. Rozbudowa pojemności musi być możliwa poprzez instalację dysków w ramach oferowanej obudowy kontrolerów lub poprzez podłączanie półek dyskowych obsługujących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Rozbudowa nie może odbywać się poprzez instalację dodatkowych kontrolerów.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Przez dodatkowe kontrolery Zamawiający rozumie elementy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wymagające podłączenia swoich portów do sieci FC/ISCSI/IP w celu realizacji operacji I/O natomiast półki dyskowe wymagają tylko podłączenia do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</w:rPr>
              <w:t>back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-end kontrolerów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bez konieczności wykorzystania portów typu front-end. W przypadku rozbudowy poprzez półkę dyskową </w:t>
            </w:r>
            <w:r>
              <w:rPr>
                <w:rFonts w:cstheme="minorHAnsi"/>
                <w:sz w:val="24"/>
                <w:szCs w:val="24"/>
              </w:rPr>
              <w:t xml:space="preserve">wymagane jest zastosowanie wydajnego linku 100G RDMA (co najmniej 2) pomiędzy kontrolerami oraz półką dyskową, co zapewni możliwie najwyższą przepustowość oraz krótkie czasy odpowiedzi.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obsługiwać dysków HDD.</w:t>
            </w:r>
          </w:p>
        </w:tc>
      </w:tr>
      <w:tr w:rsidR="004879CE" w14:paraId="0A4B65E5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30C3A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CDF4EB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Zabezpieczenia dyskami SPARE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39B7C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definiowania przez administratora dysków SPARE lub odpowiedniej zapasowej przestrzeni dyskowej.</w:t>
            </w:r>
          </w:p>
        </w:tc>
      </w:tr>
      <w:tr w:rsidR="004879CE" w14:paraId="0B2542D2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90C28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849C8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Pamięć Cache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769455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 najmniej 256GB pamięci cache na cały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(dwa kontrolery). Zamawiający  nie  dopuszcza  możliwości  zastosowania dysków SSD/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kart pamięci FLASH jako rozszerzenia pamięci cache. Pamięć cache musi być zabezpieczona przed utratą danych w przypadku awarii zasilania poprzez funkcję zapisu zawartości pamięci cache na nieulotną pamięć lub posiadać podtrzymywanie bateryjne min. 48 godzin.</w:t>
            </w:r>
          </w:p>
        </w:tc>
      </w:tr>
      <w:tr w:rsidR="004879CE" w14:paraId="4732B232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811FC6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ACAC3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Dostępne interfejsy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57D08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Razem kontrolery muszą udostępnić minimum 8 portów 25Gb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Wszystkie moduły muszą posiadać wkładki optyczne. Możliwość rozbudowy o dodatkowe 16 portów 32G FC oraz 4 porty 40G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tylko poprzez instalację kart sieciowych w oferowanym urządzeniu.</w:t>
            </w:r>
          </w:p>
          <w:p w14:paraId="71E7083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posiadać wbudowane porty 100G RDMA do podłączenia półek dyskowych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musi umożliwiać rozbudowę o takie porty w przypadku gdy obsługa wymaganych przy rozbudowie 48 dysków determinuje konieczność podłączenia dodatkowej półki.</w:t>
            </w:r>
          </w:p>
        </w:tc>
      </w:tr>
      <w:tr w:rsidR="004879CE" w14:paraId="098F24D0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EAF304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79CBE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Obsługiwane protokoły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9022A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Wymagane wsparcie dla FC, </w:t>
            </w:r>
            <w:proofErr w:type="spellStart"/>
            <w:r>
              <w:rPr>
                <w:rFonts w:cstheme="minorHAnsi"/>
                <w:sz w:val="24"/>
                <w:szCs w:val="24"/>
              </w:rPr>
              <w:t>iSCSI</w:t>
            </w:r>
            <w:proofErr w:type="spellEnd"/>
            <w:r>
              <w:rPr>
                <w:rFonts w:cstheme="minorHAnsi"/>
                <w:sz w:val="24"/>
                <w:szCs w:val="24"/>
              </w:rPr>
              <w:t>, NFS</w:t>
            </w:r>
          </w:p>
        </w:tc>
      </w:tr>
      <w:tr w:rsidR="004879CE" w14:paraId="5EE313AE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83EA7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C7E70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Obsługiwane typy zabezpieczenia RAID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F79A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Kontrolery wyposażone w funkcjonalność konfiguracji poziomu RAID 6 lub równoważnego tolerującego jednoczesną awarię 2 dysków bez utraty danych.</w:t>
            </w:r>
          </w:p>
        </w:tc>
      </w:tr>
      <w:tr w:rsidR="004879CE" w14:paraId="1DC831FF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76D7CC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4181EE" w14:textId="77777777" w:rsidR="004879CE" w:rsidRDefault="00584556">
            <w:pPr>
              <w:tabs>
                <w:tab w:val="left" w:pos="580"/>
              </w:tabs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Prezentacja dysków logicznych </w:t>
            </w:r>
            <w:r>
              <w:rPr>
                <w:rFonts w:cstheme="minorHAnsi"/>
                <w:sz w:val="24"/>
                <w:szCs w:val="24"/>
              </w:rPr>
              <w:br/>
              <w:t xml:space="preserve">o pojemności większej niż zajmowana przestrzeń dyskowa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Thin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Provisioning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22529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funkcjonalność tworzenia i prezentacji dysków logicznych (LUN) o pojemności większej niż zajmowana fizyczna przestrzeń dyskowych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ThinProvisioning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Wymagana funkcjonalność zwrotu skasowanej przestrzeni dyskowej do puli zasobów wspólnych (ang. Space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Reclamation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wspierać nie mniej niż 5000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LUNów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879CE" w14:paraId="23003E20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432B8EA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ECA21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Zarządzanie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13A905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Zarządzanie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serwerem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(wszystkimi kontrolerami) z poziomu pojedynczego interfejsu graficznego. Wymagane jest stałe monitorowanie stanu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tym monitorowanie wydajności obiektów takich jak:</w:t>
            </w:r>
          </w:p>
          <w:p w14:paraId="4247FC08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cały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  <w:p w14:paraId="5E9CA93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kontrolery</w:t>
            </w:r>
          </w:p>
          <w:p w14:paraId="3B150C9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porty front-end</w:t>
            </w:r>
          </w:p>
          <w:p w14:paraId="31917DC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dyski</w:t>
            </w:r>
          </w:p>
          <w:p w14:paraId="35935BF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LUNy</w:t>
            </w:r>
            <w:proofErr w:type="spellEnd"/>
          </w:p>
          <w:p w14:paraId="713AF0C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hosty</w:t>
            </w:r>
          </w:p>
          <w:p w14:paraId="7D35213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 kątem parametrów takich jak:</w:t>
            </w:r>
          </w:p>
          <w:p w14:paraId="7A494506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operacje wejścia/wyjścia IOPS</w:t>
            </w:r>
          </w:p>
          <w:p w14:paraId="67EA00F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przepustowość (KB/s lub MB/s)</w:t>
            </w:r>
          </w:p>
          <w:p w14:paraId="17342BC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czas odpowiedzi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  <w:p w14:paraId="4780F4B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zużycie CPU (w % dla kontrolerów)</w:t>
            </w:r>
          </w:p>
          <w:p w14:paraId="3938245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monitorowania stanu żywotności dysków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Wymagana możliwość dostępu do historycznych danych wydajnościowych z poziomu GUI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 co najmniej 2 lat wstecz lub jako równoważne dostarczenie fizycznego serwera z oprogramowaniem umożliwiającym zbieranie i przeglądanie danych historycznych.</w:t>
            </w:r>
          </w:p>
          <w:p w14:paraId="39D7B32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konfigurowania zasobów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  <w:tr w:rsidR="004879CE" w14:paraId="3F24154B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5C277E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63ECC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Kopie wewnątrz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7E9C1B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Tworzenie na żądanie tzw. migawkowej kopii danych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 wolumenów blokowych (LUN) w ramach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do wykorzystania w celu np. wykonywania kopii zapasowych.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muszą być wykonywanie w technologii ROW (</w:t>
            </w:r>
            <w:proofErr w:type="spellStart"/>
            <w:r>
              <w:rPr>
                <w:rFonts w:cstheme="minorHAnsi"/>
                <w:sz w:val="24"/>
                <w:szCs w:val="24"/>
              </w:rPr>
              <w:t>Redirect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On Write). Wymagana jest możliwość utworzenia harmonogramu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utworzenie min 8000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Musi być możliwość utworzenia harmonogramu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których nie można modyfikować ani usunąć bez odpowiednich uprawnień celem przywrócenia danych w przypadku ataku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ransomware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5937722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Tworzenie na żądanie kopii danych typu klon w ramach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za pomocą wewnętrznych kontrolerów serwerowych.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Klon musi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umożliwość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resynchronizację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 źródłowym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LUN’em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4879CE" w14:paraId="21D1EEFB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51BC21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AB2EA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  <w:r>
              <w:rPr>
                <w:rFonts w:cstheme="minorHAnsi"/>
                <w:sz w:val="24"/>
                <w:szCs w:val="24"/>
              </w:rPr>
              <w:t>/kompresja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2AAA3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wspierać funkcjonalności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 kompresji danych. Musi istnieć możliwość wyboru wolumenów (LUN) na których te funkcjonalności będą włączone oraz możliwość ich późniejszego wyłączenia na utworzonych wolumenach (LUN).</w:t>
            </w:r>
          </w:p>
        </w:tc>
      </w:tr>
      <w:tr w:rsidR="004879CE" w14:paraId="08009359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C9E09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B9A653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Replikacja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LUNów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2E6AB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Możliwość zdalnej replikacji danych typu on-line (bez przerywania prezentacji wolumenów dyskowych)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tej samej rodziny w trybie asynchronicznym lub synchronicznym przy wykorzystaniu portów IP. Funkcjonalność ta nie może wpływać na obciążenie serwerów podłączonych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14:paraId="5CC18B0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zapewniać natywne wsparcie dla replikacji co najmniej asynchronicznej do posiadanej przez Zamawiającego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Dorado 3000 V6 pod kątem przechowywania dodatkowych kopii zapasowych.</w:t>
            </w:r>
          </w:p>
        </w:tc>
      </w:tr>
      <w:tr w:rsidR="004879CE" w14:paraId="57AE09B0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9216918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C974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Klaster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7B57AA" w14:textId="77777777" w:rsidR="004879CE" w:rsidRDefault="00584556">
            <w:pPr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Wsparcie dla technologii </w:t>
            </w:r>
            <w:proofErr w:type="spellStart"/>
            <w:r>
              <w:rPr>
                <w:rFonts w:cstheme="minorHAnsi"/>
                <w:sz w:val="24"/>
                <w:szCs w:val="24"/>
              </w:rPr>
              <w:t>klastrowania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(ang. Storage Metro Cluster).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dostarczać funkcjonalność klastra klasy "wysokiej dostępności" tj. zapewnienia wysokiej dostępności zasobów dyskowych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dla podłączonych platform oprogramowania i sprzętowych z wykorzystaniem synchronicznej replikacji danych po protokole IP pomiędzy 2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serwerami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Pod użytym pojęciem "wysoka dostępność zasobów dyskowych" należy rozumieć zapewnienie bezprzerwowego działania środowiska (aplikacja/system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operacyjny/serwer) podłączonego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preferowany) w przypadku wystąpienia awarii logicznego połączenia z tym serwerem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bądź awarii samego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powodujących dla danego środowiska brak dostępu do zasobów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preferowanego. Funkcjonalność klastra "wysokiej dostępności" pozwala na automatyczne przełączanie obsługi środowisk produkcyjnych 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preferowanego na niepreferowanego w przypadku awarii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preferowanej (tzw. </w:t>
            </w:r>
            <w:proofErr w:type="spellStart"/>
            <w:r>
              <w:rPr>
                <w:rFonts w:cstheme="minorHAnsi"/>
                <w:sz w:val="24"/>
                <w:szCs w:val="24"/>
              </w:rPr>
              <w:t>automated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Wymagany jest również automatyczny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niepreferowanej na preferowaną. Dopuszczalne jest zastosowanie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tzw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arbitra w postaci serwera fizycznego / maszyny wirtualnej.</w:t>
            </w:r>
          </w:p>
          <w:p w14:paraId="4EDEE2C2" w14:textId="77777777" w:rsidR="004879CE" w:rsidRDefault="00584556">
            <w:pPr>
              <w:spacing w:line="240" w:lineRule="auto"/>
              <w:jc w:val="left"/>
              <w:rPr>
                <w:rFonts w:cstheme="minorHAnsi"/>
                <w:color w:val="00B05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jest możliwość konfiguracji scenariusza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Disaster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Recovery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w którym 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działają w ramach Storage Metro Cluster i jednocześnie replikują </w:t>
            </w:r>
            <w:r w:rsidRPr="00584556">
              <w:rPr>
                <w:rFonts w:cstheme="minorHAnsi"/>
                <w:sz w:val="24"/>
                <w:szCs w:val="24"/>
              </w:rPr>
              <w:t xml:space="preserve">się </w:t>
            </w:r>
            <w:r w:rsidRPr="00584556">
              <w:rPr>
                <w:rFonts w:cstheme="minorHAnsi"/>
                <w:color w:val="000000" w:themeColor="text1"/>
                <w:sz w:val="24"/>
                <w:szCs w:val="24"/>
              </w:rPr>
              <w:t>natywnie bez dodatkowych urządzeń wirtualizujących bądź pośredniczących</w:t>
            </w:r>
            <w:r>
              <w:rPr>
                <w:rFonts w:cstheme="minorHAnsi"/>
                <w:sz w:val="24"/>
                <w:szCs w:val="24"/>
              </w:rPr>
              <w:t xml:space="preserve"> co najmniej asynchronicznie do posiadanej przez Zamawiającego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Dorado 3000 V6.</w:t>
            </w:r>
          </w:p>
        </w:tc>
      </w:tr>
      <w:tr w:rsidR="004879CE" w14:paraId="6ED7E96E" w14:textId="77777777" w:rsidTr="004879CE">
        <w:trPr>
          <w:trHeight w:val="1176"/>
        </w:trPr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B67D4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F0EC8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Priorytety zadań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AFBC4F" w14:textId="77777777" w:rsidR="004879CE" w:rsidRPr="00B8337D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B8337D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B8337D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B833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37D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musi posiadać możliwość zapewnienia ciągłości biznesu na oczekiwanym poziomie usług (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) poprzez definicję polityk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w oparciu o maksymalne progi wydajności IOPS i MB/s. Musi istnieć możliwość określenia polityk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na poziomie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LUNów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oraz hostów.</w:t>
            </w:r>
          </w:p>
        </w:tc>
      </w:tr>
      <w:tr w:rsidR="004879CE" w14:paraId="1F97C408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C230CC8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7AE3D2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Funkcjonalności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6DF68A" w14:textId="77777777" w:rsidR="004879CE" w:rsidRPr="00B8337D" w:rsidRDefault="00584556">
            <w:pPr>
              <w:pStyle w:val="Default"/>
              <w:rPr>
                <w:rFonts w:asciiTheme="minorHAnsi" w:hAnsiTheme="minorHAnsi" w:cstheme="minorHAnsi"/>
                <w:sz w:val="24"/>
                <w:szCs w:val="24"/>
              </w:rPr>
            </w:pPr>
            <w:r w:rsidRPr="00B8337D">
              <w:rPr>
                <w:rFonts w:asciiTheme="minorHAnsi" w:eastAsia="Times New Roman" w:hAnsiTheme="minorHAnsi" w:cstheme="minorHAnsi"/>
                <w:sz w:val="24"/>
                <w:szCs w:val="24"/>
              </w:rPr>
              <w:t>Wymagane jest dostarczenie licencji na wszystkie opisane powyżej funkcjonalności. Licencje muszą być wieczyste.</w:t>
            </w:r>
          </w:p>
        </w:tc>
      </w:tr>
      <w:tr w:rsidR="004879CE" w14:paraId="61E123D4" w14:textId="77777777" w:rsidTr="004879CE"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C482DB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0E91E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Wspierane systemy operacyjne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00559D" w14:textId="77777777" w:rsidR="004879CE" w:rsidRDefault="00584556">
            <w:pPr>
              <w:spacing w:after="160"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Wsparcie, dla co najmniej Microsoft Server Windows 2016/2019/2022, </w:t>
            </w:r>
            <w:proofErr w:type="spellStart"/>
            <w:r>
              <w:rPr>
                <w:rFonts w:cstheme="minorHAnsi"/>
                <w:sz w:val="24"/>
                <w:szCs w:val="24"/>
              </w:rPr>
              <w:t>VMware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7.0/8.0, Linux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RedHat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7.x/8.x, </w:t>
            </w:r>
            <w:proofErr w:type="spellStart"/>
            <w:r>
              <w:rPr>
                <w:rFonts w:cstheme="minorHAnsi"/>
                <w:sz w:val="24"/>
                <w:szCs w:val="24"/>
              </w:rPr>
              <w:t>CentOS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7.x/8.x,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Proxmox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VE 6.1</w:t>
            </w:r>
          </w:p>
        </w:tc>
      </w:tr>
      <w:tr w:rsidR="004879CE" w14:paraId="69E6E7F1" w14:textId="77777777" w:rsidTr="004879CE">
        <w:trPr>
          <w:trHeight w:val="2351"/>
        </w:trPr>
        <w:tc>
          <w:tcPr>
            <w:tcW w:w="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52853E9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27DE9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Serwisowalność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935BF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 xml:space="preserve">Wymagane uaktualnianie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firmware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-u kontrolerów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bez przerywania dostępu do danych.</w:t>
            </w:r>
          </w:p>
          <w:p w14:paraId="333BD80A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przystosowany do napraw w miejscu zainstalowania oraz wymiany elementów bez konieczności jej wyłączania.</w:t>
            </w:r>
          </w:p>
          <w:p w14:paraId="19DBD22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musi umożliwiać zdalne zarządzanie.</w:t>
            </w:r>
          </w:p>
          <w:p w14:paraId="73D312E4" w14:textId="581C5178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Urządzenie musi być fabrycznie nowe i pochodzić  z autoryzowanego kanału dystrybucji producenta, a także musi być objęte serwisem producenta lub autoryzowanego partnera serwisowego producenta. Wykonawca musi zapewnić, aby gwarancja/ obsługa serwisowa była świadczona na rzecz Zamawiającego i była dostępna w pełnym zakresie w języku polskim.</w:t>
            </w:r>
          </w:p>
          <w:p w14:paraId="0388ACCB" w14:textId="77777777" w:rsidR="004879CE" w:rsidRPr="00584556" w:rsidRDefault="004879CE">
            <w:pPr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</w:p>
          <w:p w14:paraId="2D5993E1" w14:textId="617008C9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Wymagana gwarancja w trybie 9x5 NBD przez okres wskazany w ofercie zgodnie z kryterium oceny ofert. Gwarancja musi</w:t>
            </w:r>
            <w:r w:rsidRPr="00584556">
              <w:rPr>
                <w:rFonts w:cstheme="minorHAnsi"/>
                <w:b/>
                <w:sz w:val="24"/>
                <w:szCs w:val="24"/>
              </w:rPr>
              <w:t xml:space="preserve"> obejmując co najmniej poniższy zakres:</w:t>
            </w:r>
          </w:p>
          <w:p w14:paraId="608AF80D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lastRenderedPageBreak/>
              <w:t>W okresie gwarancji rozpoczęcie napraw gwarancyjnych nastąpi nie później niż w następnym dniu roboczym od chwili zarejestrowania zgłoszenia o awarii przekazanej e-mailem lub telefonicznie; z zastrzeżeniem, że:</w:t>
            </w:r>
          </w:p>
          <w:p w14:paraId="4E5AF858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- Zamawiający ma możliwość zgłoszenia awarii przez całą dobę.</w:t>
            </w:r>
          </w:p>
          <w:p w14:paraId="12F617D8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- Zgłoszone przez Zamawiającego awarie po godzinie 16 w dni robocze (poniedziałek - piątek), w dni wolne od pracy (sobota-niedziela) oraz w dni ustawowo wolne (święta) będą rejestrowane w najbliższy dzień roboczy.</w:t>
            </w:r>
          </w:p>
          <w:p w14:paraId="05FD8513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Przez okres gwarancji wszystkie czynności wymagane do jej zachowania, a w szczególności konserwacja, naprawy mechaniczne, przeglądy techniczne i serwis będą wykonywane przez autoryzowany serwis producenta. Jeżeli nie ma możliwości usunięcia awarii w miejscu zainstalowania przedmiotu zamówienia ewentualny koszt transportu przedmiotu zamówienia do miejsca naprawy i z powrotem do miejsca instalacji u Zamawiającego musi być ujęty w cenie oferty.</w:t>
            </w:r>
          </w:p>
        </w:tc>
      </w:tr>
      <w:tr w:rsidR="004879CE" w14:paraId="1417B0EC" w14:textId="77777777" w:rsidTr="004879CE">
        <w:trPr>
          <w:trHeight w:val="2351"/>
        </w:trPr>
        <w:tc>
          <w:tcPr>
            <w:tcW w:w="54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5CF1AD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B04D9E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Instalacja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</w:tcBorders>
          </w:tcPr>
          <w:p w14:paraId="189E831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Wykonawca jest zobowiązany zainstalować przedmiot umowy w miejscu wskazanym przez Zamawiającego. Wymagana jest konfiguracja klastra w oparciu o dostarczone serwery pamięci masowych  oraz przeprowadzenia testów niezawodnościowych skonfigurowanego klastra polegające na wyłączeniu losowego serwera pamięci masowej z klastra i weryfikacji przełączenia ścieżek do danych.</w:t>
            </w:r>
          </w:p>
        </w:tc>
      </w:tr>
    </w:tbl>
    <w:p w14:paraId="6BEAFD9C" w14:textId="77777777" w:rsidR="004879CE" w:rsidRDefault="004879CE">
      <w:pPr>
        <w:spacing w:afterAutospacing="1"/>
        <w:rPr>
          <w:rFonts w:cstheme="minorHAnsi"/>
          <w:i/>
          <w:sz w:val="24"/>
          <w:szCs w:val="24"/>
        </w:rPr>
      </w:pPr>
    </w:p>
    <w:p w14:paraId="31104C7F" w14:textId="77777777" w:rsidR="004879CE" w:rsidRDefault="00584556">
      <w:pPr>
        <w:spacing w:afterAutospacing="1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2024 r.,</w:t>
      </w:r>
      <w:proofErr w:type="spellStart"/>
      <w:r>
        <w:rPr>
          <w:rFonts w:cstheme="minorHAnsi"/>
          <w:i/>
          <w:sz w:val="24"/>
          <w:szCs w:val="24"/>
        </w:rPr>
        <w:t>poz</w:t>
      </w:r>
      <w:proofErr w:type="spellEnd"/>
      <w:r>
        <w:rPr>
          <w:rFonts w:cstheme="minorHAnsi"/>
          <w:i/>
          <w:sz w:val="24"/>
          <w:szCs w:val="24"/>
        </w:rPr>
        <w:t>. 1411 ze zm.)</w:t>
      </w:r>
    </w:p>
    <w:sectPr w:rsidR="004879C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  <w:sig w:usb0="00000000" w:usb1="00000000" w:usb2="00000000" w:usb3="00000000" w:csb0="00040001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5787B"/>
    <w:multiLevelType w:val="multilevel"/>
    <w:tmpl w:val="99A872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425FB"/>
    <w:multiLevelType w:val="multilevel"/>
    <w:tmpl w:val="7F545D0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9CE"/>
    <w:rsid w:val="002D7EF4"/>
    <w:rsid w:val="004879CE"/>
    <w:rsid w:val="00584556"/>
    <w:rsid w:val="00B8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D0F8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E88"/>
    <w:pPr>
      <w:spacing w:after="120" w:line="276" w:lineRule="auto"/>
      <w:contextualSpacing/>
      <w:jc w:val="both"/>
    </w:pPr>
    <w:rPr>
      <w:rFonts w:eastAsia="MS Mincho" w:cs="Times New Roman"/>
      <w:sz w:val="22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E90E88"/>
    <w:pPr>
      <w:keepNext/>
      <w:numPr>
        <w:numId w:val="1"/>
      </w:numPr>
      <w:spacing w:before="600" w:after="240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E90E88"/>
    <w:pPr>
      <w:keepNext/>
      <w:numPr>
        <w:ilvl w:val="1"/>
        <w:numId w:val="1"/>
      </w:numPr>
      <w:spacing w:before="480" w:after="24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90E88"/>
    <w:pPr>
      <w:keepNext/>
      <w:numPr>
        <w:ilvl w:val="2"/>
        <w:numId w:val="1"/>
      </w:numPr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90E88"/>
    <w:pPr>
      <w:keepNext/>
      <w:numPr>
        <w:ilvl w:val="3"/>
        <w:numId w:val="1"/>
      </w:numPr>
      <w:spacing w:before="20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E90E88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E90E8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90E88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90E8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90E8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90E88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qFormat/>
    <w:rsid w:val="00E90E88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qFormat/>
    <w:rsid w:val="00E90E88"/>
    <w:rPr>
      <w:rFonts w:ascii="Calibri" w:eastAsia="Times New Roman" w:hAnsi="Calibri" w:cs="Times New Roman"/>
      <w:b/>
      <w:bCs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E90E88"/>
    <w:rPr>
      <w:rFonts w:ascii="Calibri" w:eastAsia="Times New Roman" w:hAnsi="Calibri" w:cs="Times New Roman"/>
      <w:b/>
      <w:bCs/>
      <w:sz w:val="22"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qFormat/>
    <w:rsid w:val="00E90E88"/>
    <w:rPr>
      <w:rFonts w:ascii="Calibri" w:eastAsia="Times New Roman" w:hAnsi="Calibri" w:cs="Times New Roman"/>
      <w:bCs/>
      <w:iCs/>
      <w:sz w:val="22"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qFormat/>
    <w:rsid w:val="00E90E88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0E88"/>
    <w:rPr>
      <w:rFonts w:ascii="Calibri" w:eastAsia="Times New Roman" w:hAnsi="Calibri" w:cs="Times New Roman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E90E88"/>
    <w:rPr>
      <w:rFonts w:ascii="Calibri" w:eastAsia="Times New Roman" w:hAnsi="Calibri" w:cs="Times New Roman"/>
      <w:i/>
      <w:iCs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E90E88"/>
    <w:rPr>
      <w:rFonts w:ascii="Cambria" w:eastAsia="Times New Roman" w:hAnsi="Cambria" w:cs="Times New Roman"/>
      <w:sz w:val="22"/>
      <w:szCs w:val="22"/>
      <w:lang w:eastAsia="ja-JP"/>
    </w:rPr>
  </w:style>
  <w:style w:type="character" w:customStyle="1" w:styleId="AkapitzlistZnak">
    <w:name w:val="Akapit z listą Znak"/>
    <w:link w:val="Akapitzlist"/>
    <w:uiPriority w:val="34"/>
    <w:qFormat/>
    <w:rsid w:val="00E90E88"/>
    <w:rPr>
      <w:rFonts w:ascii="Calibri" w:eastAsia="MS Mincho" w:hAnsi="Calibri" w:cs="Times New Roman"/>
      <w:sz w:val="22"/>
      <w:szCs w:val="20"/>
      <w:lang w:eastAsia="ja-JP"/>
    </w:rPr>
  </w:style>
  <w:style w:type="character" w:customStyle="1" w:styleId="NagwekZnak">
    <w:name w:val="Nagłówek Znak"/>
    <w:basedOn w:val="Domylnaczcionkaakapitu"/>
    <w:link w:val="Nagwek"/>
    <w:uiPriority w:val="15"/>
    <w:qFormat/>
    <w:rsid w:val="00170196"/>
    <w:rPr>
      <w:rFonts w:ascii="Arial" w:eastAsia="Andale Sans UI" w:hAnsi="Arial" w:cs="Arial"/>
      <w:kern w:val="2"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70196"/>
    <w:rPr>
      <w:rFonts w:ascii="Calibri" w:eastAsia="MS Mincho" w:hAnsi="Calibri" w:cs="Times New Roman"/>
      <w:sz w:val="22"/>
      <w:szCs w:val="20"/>
      <w:lang w:eastAsia="ja-JP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EA2"/>
    <w:rPr>
      <w:rFonts w:ascii="Calibri" w:eastAsia="MS Mincho" w:hAnsi="Calibri" w:cs="Times New Roman"/>
      <w:sz w:val="22"/>
      <w:szCs w:val="20"/>
      <w:lang w:eastAsia="ja-JP"/>
    </w:rPr>
  </w:style>
  <w:style w:type="paragraph" w:styleId="Nagwek">
    <w:name w:val="header"/>
    <w:basedOn w:val="Normalny"/>
    <w:next w:val="Tekstpodstawowy"/>
    <w:link w:val="NagwekZnak"/>
    <w:uiPriority w:val="15"/>
    <w:rsid w:val="00170196"/>
    <w:pPr>
      <w:keepNext/>
      <w:widowControl w:val="0"/>
      <w:spacing w:before="240" w:line="240" w:lineRule="auto"/>
      <w:contextualSpacing w:val="0"/>
      <w:jc w:val="left"/>
    </w:pPr>
    <w:rPr>
      <w:rFonts w:ascii="Arial" w:eastAsia="Andale Sans UI" w:hAnsi="Arial" w:cs="Arial"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196"/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uiPriority w:val="35"/>
    <w:qFormat/>
    <w:rsid w:val="00E90E88"/>
    <w:rPr>
      <w:b/>
      <w:b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34"/>
    <w:qFormat/>
    <w:rsid w:val="00E90E88"/>
    <w:pPr>
      <w:ind w:left="720"/>
    </w:pPr>
  </w:style>
  <w:style w:type="paragraph" w:customStyle="1" w:styleId="Default">
    <w:name w:val="Default"/>
    <w:qFormat/>
    <w:rsid w:val="008447EF"/>
    <w:rPr>
      <w:rFonts w:ascii="Arial" w:eastAsia="Calibri" w:hAnsi="Arial" w:cs="Arial"/>
      <w:color w:val="00000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EA2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ela-EleganckiAW">
    <w:name w:val="Tabela - Elegancki AW"/>
    <w:basedOn w:val="Tabela-Elegancki"/>
    <w:uiPriority w:val="99"/>
    <w:rsid w:val="00E90E88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E90E88"/>
    <w:pPr>
      <w:spacing w:after="120" w:line="276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leganckiAW1">
    <w:name w:val="Tabela - Elegancki AW1"/>
    <w:basedOn w:val="Tabela-Elegancki"/>
    <w:uiPriority w:val="99"/>
    <w:rsid w:val="000E67C3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Siatka">
    <w:name w:val="Table Grid"/>
    <w:basedOn w:val="Standardowy"/>
    <w:uiPriority w:val="59"/>
    <w:rsid w:val="000E67C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221A6-E397-473A-B9FF-6C1BC7567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55DA3-05FF-4429-819D-4BD720B02963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customXml/itemProps3.xml><?xml version="1.0" encoding="utf-8"?>
<ds:datastoreItem xmlns:ds="http://schemas.openxmlformats.org/officeDocument/2006/customXml" ds:itemID="{5EC68ECF-FD04-44F3-AA6A-5A4CB6E8B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1960</Words>
  <Characters>11766</Characters>
  <Application>Microsoft Office Word</Application>
  <DocSecurity>0</DocSecurity>
  <Lines>98</Lines>
  <Paragraphs>27</Paragraphs>
  <ScaleCrop>false</ScaleCrop>
  <Company/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dc:description/>
  <cp:lastModifiedBy>Paweł Starczewski</cp:lastModifiedBy>
  <cp:revision>4</cp:revision>
  <dcterms:created xsi:type="dcterms:W3CDTF">2025-03-13T12:35:00Z</dcterms:created>
  <dcterms:modified xsi:type="dcterms:W3CDTF">2025-03-13T13:14:00Z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0x01010022ECCF0A21D16D41A0DA8C8838E228F8</vt:lpwstr>
  </property>
</Properties>
</file>