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E1A4A" w14:textId="2716203B" w:rsidR="00564FD8" w:rsidRDefault="00356F42">
      <w:pPr>
        <w:pStyle w:val="Akapitzlist"/>
        <w:tabs>
          <w:tab w:val="left" w:pos="1963"/>
        </w:tabs>
        <w:spacing w:line="240" w:lineRule="auto"/>
        <w:ind w:left="567"/>
        <w:jc w:val="center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 wp14:anchorId="084D1EC4" wp14:editId="11A1ED38">
            <wp:simplePos x="0" y="0"/>
            <wp:positionH relativeFrom="margin">
              <wp:posOffset>1440180</wp:posOffset>
            </wp:positionH>
            <wp:positionV relativeFrom="page">
              <wp:posOffset>401320</wp:posOffset>
            </wp:positionV>
            <wp:extent cx="2510790" cy="714375"/>
            <wp:effectExtent l="0" t="0" r="0" b="0"/>
            <wp:wrapTopAndBottom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 xml:space="preserve">D/15/2025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załącznik nr 1.1</w:t>
      </w:r>
    </w:p>
    <w:p w14:paraId="0B235876" w14:textId="77777777" w:rsidR="00564FD8" w:rsidRDefault="00356F42">
      <w:pPr>
        <w:spacing w:after="0"/>
        <w:jc w:val="center"/>
        <w:rPr>
          <w:rFonts w:cstheme="minorHAnsi"/>
          <w:b/>
          <w:caps/>
          <w:sz w:val="24"/>
          <w:szCs w:val="24"/>
        </w:rPr>
      </w:pPr>
      <w:r>
        <w:rPr>
          <w:rFonts w:cstheme="minorHAnsi"/>
          <w:b/>
          <w:caps/>
          <w:sz w:val="24"/>
          <w:szCs w:val="24"/>
        </w:rPr>
        <w:t>Opis przedmiotu zamówienia</w:t>
      </w:r>
    </w:p>
    <w:p w14:paraId="66055698" w14:textId="77777777" w:rsidR="00564FD8" w:rsidRDefault="00564FD8">
      <w:pPr>
        <w:pStyle w:val="Akapitzlist"/>
        <w:tabs>
          <w:tab w:val="left" w:pos="1963"/>
        </w:tabs>
        <w:spacing w:after="0" w:line="240" w:lineRule="auto"/>
        <w:jc w:val="right"/>
        <w:rPr>
          <w:rFonts w:cstheme="minorHAnsi"/>
          <w:b/>
          <w:sz w:val="24"/>
          <w:szCs w:val="24"/>
          <w:lang w:eastAsia="pl-PL"/>
        </w:rPr>
      </w:pPr>
    </w:p>
    <w:p w14:paraId="75D7FA1B" w14:textId="77777777" w:rsidR="00564FD8" w:rsidRDefault="00356F42">
      <w:pPr>
        <w:pStyle w:val="Akapitzlist"/>
        <w:tabs>
          <w:tab w:val="left" w:pos="1963"/>
        </w:tabs>
        <w:spacing w:after="0" w:line="240" w:lineRule="auto"/>
        <w:ind w:left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Przedmiot zamówienia:  </w:t>
      </w:r>
      <w:r>
        <w:rPr>
          <w:rFonts w:cstheme="minorHAnsi"/>
          <w:b/>
          <w:sz w:val="24"/>
          <w:szCs w:val="24"/>
          <w:lang w:eastAsia="pl-PL"/>
        </w:rPr>
        <w:t>„Zakup i dostawa urządzeń aktywnych na potrzeby Centrum Nowoczesnych Technologii Uniwersytetu Opolskiego.”</w:t>
      </w:r>
    </w:p>
    <w:p w14:paraId="79A2C56E" w14:textId="77777777" w:rsidR="00564FD8" w:rsidRDefault="00356F42">
      <w:pPr>
        <w:pStyle w:val="Nagwek"/>
        <w:pBdr>
          <w:bottom w:val="thickThinSmallGap" w:sz="24" w:space="9" w:color="800000"/>
        </w:pBdr>
        <w:spacing w:before="0" w:after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14:paraId="747D1541" w14:textId="77960A0C" w:rsidR="00564FD8" w:rsidRDefault="00356F42">
      <w:pPr>
        <w:spacing w:before="240" w:line="600" w:lineRule="auto"/>
        <w:jc w:val="left"/>
        <w:rPr>
          <w:rFonts w:cstheme="minorHAnsi"/>
          <w:b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część nr 1, pn.: </w:t>
      </w:r>
      <w:r>
        <w:rPr>
          <w:rFonts w:cstheme="minorHAnsi"/>
          <w:b/>
          <w:i/>
          <w:sz w:val="24"/>
          <w:szCs w:val="24"/>
        </w:rPr>
        <w:t>„</w:t>
      </w:r>
      <w:r w:rsidR="00C3494B" w:rsidRPr="00C3494B">
        <w:rPr>
          <w:rFonts w:cstheme="minorHAnsi"/>
          <w:b/>
          <w:i/>
          <w:sz w:val="24"/>
          <w:szCs w:val="24"/>
        </w:rPr>
        <w:t>Zakup i dostawa serwerów kopii zapasowej – 2 szt.</w:t>
      </w:r>
      <w:r>
        <w:rPr>
          <w:rFonts w:cstheme="minorHAnsi"/>
          <w:b/>
          <w:i/>
          <w:sz w:val="24"/>
          <w:szCs w:val="24"/>
        </w:rPr>
        <w:t>”</w:t>
      </w:r>
    </w:p>
    <w:tbl>
      <w:tblPr>
        <w:tblStyle w:val="Tabela-EleganckiAW1"/>
        <w:tblW w:w="5000" w:type="pct"/>
        <w:tblLayout w:type="fixed"/>
        <w:tblLook w:val="00A0" w:firstRow="1" w:lastRow="0" w:firstColumn="1" w:lastColumn="0" w:noHBand="0" w:noVBand="0"/>
      </w:tblPr>
      <w:tblGrid>
        <w:gridCol w:w="502"/>
        <w:gridCol w:w="1446"/>
        <w:gridCol w:w="6942"/>
      </w:tblGrid>
      <w:tr w:rsidR="00564FD8" w14:paraId="73006D27" w14:textId="77777777" w:rsidTr="00564F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tcW w:w="5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A54809" w14:textId="77777777" w:rsidR="00564FD8" w:rsidRDefault="00356F42">
            <w:pPr>
              <w:spacing w:before="120"/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Lp</w:t>
            </w:r>
          </w:p>
        </w:tc>
        <w:tc>
          <w:tcPr>
            <w:tcW w:w="843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14:paraId="48C970FD" w14:textId="77777777" w:rsidR="00564FD8" w:rsidRDefault="00356F42">
            <w:pPr>
              <w:spacing w:before="12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wymagane przez zamawiającego</w:t>
            </w:r>
          </w:p>
        </w:tc>
      </w:tr>
      <w:tr w:rsidR="00564FD8" w14:paraId="1F8AB9A1" w14:textId="77777777" w:rsidTr="00564FD8">
        <w:trPr>
          <w:trHeight w:val="552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26869CD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AAFC866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Obudowa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A7AC53" w14:textId="77777777" w:rsidR="00564FD8" w:rsidRPr="00C3494B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C3494B">
              <w:rPr>
                <w:rFonts w:cstheme="minorHAnsi"/>
                <w:sz w:val="24"/>
                <w:szCs w:val="24"/>
              </w:rPr>
              <w:t xml:space="preserve">Obudowa do montażu w szafie </w:t>
            </w:r>
            <w:proofErr w:type="spellStart"/>
            <w:r w:rsidRPr="00C3494B">
              <w:rPr>
                <w:rFonts w:cstheme="minorHAnsi"/>
                <w:sz w:val="24"/>
                <w:szCs w:val="24"/>
              </w:rPr>
              <w:t>rack</w:t>
            </w:r>
            <w:proofErr w:type="spellEnd"/>
            <w:r w:rsidRPr="00C3494B">
              <w:rPr>
                <w:rFonts w:cstheme="minorHAnsi"/>
                <w:sz w:val="24"/>
                <w:szCs w:val="24"/>
              </w:rPr>
              <w:t xml:space="preserve"> 19” </w:t>
            </w:r>
            <w:r w:rsidRPr="00C3494B">
              <w:rPr>
                <w:rFonts w:cstheme="minorHAnsi"/>
                <w:sz w:val="24"/>
                <w:szCs w:val="24"/>
              </w:rPr>
              <w:t>posiadanej przez Zamawiającego</w:t>
            </w:r>
            <w:r w:rsidRPr="00C3494B">
              <w:rPr>
                <w:rFonts w:cstheme="minorHAnsi"/>
                <w:sz w:val="24"/>
                <w:szCs w:val="24"/>
              </w:rPr>
              <w:t xml:space="preserve"> za pomocą dostarczonych dedykowanych elementów. </w:t>
            </w:r>
          </w:p>
        </w:tc>
      </w:tr>
      <w:tr w:rsidR="00564FD8" w14:paraId="7F5E552D" w14:textId="77777777" w:rsidTr="00564FD8">
        <w:trPr>
          <w:trHeight w:val="1381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8002849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9164759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Kontrolery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BBD81B" w14:textId="77777777" w:rsidR="00564FD8" w:rsidRPr="00C3494B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C3494B">
              <w:rPr>
                <w:rFonts w:cstheme="minorHAnsi"/>
                <w:sz w:val="24"/>
                <w:szCs w:val="24"/>
              </w:rPr>
              <w:t xml:space="preserve">Serwer kopii zapasowej musi być </w:t>
            </w:r>
            <w:r w:rsidRPr="00C3494B">
              <w:rPr>
                <w:rFonts w:cstheme="minorHAnsi"/>
                <w:sz w:val="24"/>
                <w:szCs w:val="24"/>
              </w:rPr>
              <w:t xml:space="preserve">wyposażony w minimum 2 kontrolery pracujące w trybie </w:t>
            </w:r>
            <w:proofErr w:type="spellStart"/>
            <w:r w:rsidRPr="00C3494B">
              <w:rPr>
                <w:rFonts w:cstheme="minorHAnsi"/>
                <w:sz w:val="24"/>
                <w:szCs w:val="24"/>
              </w:rPr>
              <w:t>active-passive</w:t>
            </w:r>
            <w:proofErr w:type="spellEnd"/>
            <w:r w:rsidRPr="00C3494B">
              <w:rPr>
                <w:rFonts w:cstheme="minorHAnsi"/>
                <w:sz w:val="24"/>
                <w:szCs w:val="24"/>
              </w:rPr>
              <w:t xml:space="preserve"> lub </w:t>
            </w:r>
            <w:proofErr w:type="spellStart"/>
            <w:r w:rsidRPr="00C3494B">
              <w:rPr>
                <w:rFonts w:cstheme="minorHAnsi"/>
                <w:sz w:val="24"/>
                <w:szCs w:val="24"/>
              </w:rPr>
              <w:t>active-active</w:t>
            </w:r>
            <w:proofErr w:type="spellEnd"/>
            <w:r w:rsidRPr="00C3494B">
              <w:rPr>
                <w:rFonts w:cstheme="minorHAnsi"/>
                <w:sz w:val="24"/>
                <w:szCs w:val="24"/>
              </w:rPr>
              <w:t>. Serwer kopii zapasowej nie może posiadać pojedynczego punktu awarii, który powodowałby brak dostępu do danych. W przypadku awarii kontrolera wszystkie procesy musi przej</w:t>
            </w:r>
            <w:r w:rsidRPr="00C3494B">
              <w:rPr>
                <w:rFonts w:cstheme="minorHAnsi"/>
                <w:sz w:val="24"/>
                <w:szCs w:val="24"/>
              </w:rPr>
              <w:t>ąć drugi kontroler.</w:t>
            </w:r>
          </w:p>
        </w:tc>
      </w:tr>
      <w:tr w:rsidR="00564FD8" w14:paraId="2D13E66B" w14:textId="77777777" w:rsidTr="00564FD8">
        <w:trPr>
          <w:trHeight w:val="1430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0F6A997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1D4E4A3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Wydajność backupu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5438CE" w14:textId="50947F1B" w:rsidR="00564FD8" w:rsidRDefault="00356F42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Oferowany model serwera kopii zapasowej musi osiągać w maksymalnej konfiguracji zagregowaną wydajność backupu co najmniej 5 TB/h</w:t>
            </w:r>
            <w:r>
              <w:rPr>
                <w:rFonts w:cstheme="minorHAnsi"/>
                <w:sz w:val="24"/>
                <w:szCs w:val="24"/>
              </w:rPr>
              <w:t>. Dodatkowo wymagana zagregowana wydajność backupu prz</w:t>
            </w:r>
            <w:r>
              <w:rPr>
                <w:rFonts w:cstheme="minorHAnsi"/>
                <w:sz w:val="24"/>
                <w:szCs w:val="24"/>
              </w:rPr>
              <w:t xml:space="preserve">y zastosowaniu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na źródle co najmniej 15 TB/h</w:t>
            </w:r>
            <w:r w:rsidR="00C3494B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64FD8" w14:paraId="0A33EAB2" w14:textId="77777777" w:rsidTr="00564FD8">
        <w:trPr>
          <w:trHeight w:val="2261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F7B5775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D7135F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Wymagana przestrzeń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0F04B1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Przestrzeń użytkowa po zbudowaniu RAID 6 (lub równoważny) z min. 1 dyskiem hot-</w:t>
            </w:r>
            <w:proofErr w:type="spellStart"/>
            <w:r>
              <w:rPr>
                <w:rFonts w:cstheme="minorHAnsi"/>
                <w:sz w:val="24"/>
                <w:szCs w:val="24"/>
              </w:rPr>
              <w:t>spare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lub przestrzenią hot-</w:t>
            </w:r>
            <w:proofErr w:type="spellStart"/>
            <w:r>
              <w:rPr>
                <w:rFonts w:cstheme="minorHAnsi"/>
                <w:sz w:val="24"/>
                <w:szCs w:val="24"/>
              </w:rPr>
              <w:t>spare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równą pojemności min. 1 </w:t>
            </w:r>
            <w:r>
              <w:rPr>
                <w:rFonts w:cstheme="minorHAnsi"/>
                <w:sz w:val="24"/>
                <w:szCs w:val="24"/>
              </w:rPr>
              <w:t>dysku musi wynosić min 100 TB.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Ze względów wydajnościowych oraz niezawodnościowych pojemność RAW pojedynczego dysku nie może być większa niż 8 TB</w:t>
            </w:r>
            <w:r>
              <w:rPr>
                <w:rFonts w:cstheme="minorHAnsi"/>
                <w:sz w:val="24"/>
                <w:szCs w:val="24"/>
              </w:rPr>
              <w:t xml:space="preserve">. Wymagana pojemność użytkowa rozumiana jest jako pojemność dostępna po konfiguracji RAID i odliczeniu rezerwy </w:t>
            </w:r>
            <w:r>
              <w:rPr>
                <w:rFonts w:cstheme="minorHAnsi"/>
                <w:sz w:val="24"/>
                <w:szCs w:val="24"/>
              </w:rPr>
              <w:t xml:space="preserve">na dyski/przestrzeń </w:t>
            </w:r>
            <w:proofErr w:type="spellStart"/>
            <w:r>
              <w:rPr>
                <w:rFonts w:cstheme="minorHAnsi"/>
                <w:i/>
                <w:iCs/>
                <w:sz w:val="24"/>
                <w:szCs w:val="24"/>
              </w:rPr>
              <w:t>spare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i dostępna dla hostów bez uwzględnienia jakichkolwiek mechanizmów kompresji, czy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564FD8" w14:paraId="109C3629" w14:textId="77777777" w:rsidTr="00564FD8">
        <w:trPr>
          <w:trHeight w:val="975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4BF73D4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FCB323B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Zabezpieczenia RAID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52CD55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Dane przechowywane w obrębie podsystemu dyskowego urządzenia muszą być chronione za pomocą technologii RAID 6 lub równoważnej tolerującej jednoczesną awarię 2 dysków bez utraty danych. </w:t>
            </w:r>
          </w:p>
        </w:tc>
      </w:tr>
      <w:tr w:rsidR="00564FD8" w14:paraId="555FC036" w14:textId="77777777" w:rsidTr="00564FD8">
        <w:trPr>
          <w:trHeight w:val="834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3D6752C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559EE40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Rozbudowa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160237" w14:textId="6BDCFE01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C3494B">
              <w:rPr>
                <w:rFonts w:cstheme="minorHAnsi"/>
                <w:sz w:val="24"/>
                <w:szCs w:val="24"/>
              </w:rPr>
              <w:t xml:space="preserve">Musi zapewniać </w:t>
            </w:r>
            <w:r w:rsidRPr="00C3494B">
              <w:rPr>
                <w:rFonts w:cstheme="minorHAnsi"/>
                <w:sz w:val="24"/>
                <w:szCs w:val="24"/>
              </w:rPr>
              <w:t>możliwość rozbudowy przestrzeni użytkowej poprzez instalację dysków i półek dyskowych oraz dodanie licencji (jeśli będzie wymagana) do min 250 TB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64FD8" w14:paraId="1E94656E" w14:textId="77777777" w:rsidTr="00564FD8">
        <w:trPr>
          <w:trHeight w:val="830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5DB55A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032074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Pamięć Cache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00C50E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 najmniej 256GB pamięci cache na cały serwer kopii zapasowej (dwa kontrolery). Pamięć cache musi być zabezpieczona przed utratą danych w przypadku awarii zasilania. </w:t>
            </w:r>
          </w:p>
        </w:tc>
      </w:tr>
      <w:tr w:rsidR="00564FD8" w14:paraId="0BA7FB9B" w14:textId="77777777" w:rsidTr="00564FD8">
        <w:trPr>
          <w:trHeight w:val="1504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E040168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8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AB6C175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Dostępne porty front-end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2874B5" w14:textId="77777777" w:rsidR="00564FD8" w:rsidRDefault="00356F4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Urządzenie musi posiadać minimum:</w:t>
            </w:r>
          </w:p>
          <w:p w14:paraId="7B11F700" w14:textId="77777777" w:rsidR="00564FD8" w:rsidRDefault="00356F4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 porty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Gb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/s </w:t>
            </w:r>
            <w:proofErr w:type="spellStart"/>
            <w:r>
              <w:rPr>
                <w:rFonts w:cstheme="minorHAnsi"/>
                <w:sz w:val="24"/>
                <w:szCs w:val="24"/>
              </w:rPr>
              <w:t>Eth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oraz 8 portów 25 </w:t>
            </w:r>
            <w:proofErr w:type="spellStart"/>
            <w:r>
              <w:rPr>
                <w:rFonts w:cstheme="minorHAnsi"/>
                <w:sz w:val="24"/>
                <w:szCs w:val="24"/>
              </w:rPr>
              <w:t>Gb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/s </w:t>
            </w:r>
            <w:proofErr w:type="spellStart"/>
            <w:r>
              <w:rPr>
                <w:rFonts w:cstheme="minorHAnsi"/>
                <w:sz w:val="24"/>
                <w:szCs w:val="24"/>
              </w:rPr>
              <w:t>Eth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z możliwością obsługi każdym portem protokołów CIFS, NFS. Wszystkie porty wyposażone we wkładki optyczne.</w:t>
            </w:r>
          </w:p>
          <w:p w14:paraId="7B3DC47D" w14:textId="77777777" w:rsidR="00564FD8" w:rsidRDefault="00356F4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Wymagana możliwość rozbudowy o dodatkowych 8 portów 32G FC tylko poprzez instalację kart sieciowych.</w:t>
            </w:r>
          </w:p>
        </w:tc>
      </w:tr>
      <w:tr w:rsidR="00564FD8" w14:paraId="57CA041D" w14:textId="77777777" w:rsidTr="00564FD8">
        <w:trPr>
          <w:trHeight w:val="512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66C1717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BBEA685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Agregacja </w:t>
            </w:r>
            <w:r>
              <w:rPr>
                <w:rFonts w:cstheme="minorHAnsi"/>
                <w:sz w:val="24"/>
                <w:szCs w:val="24"/>
              </w:rPr>
              <w:t>portów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071C01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Wymagana możliwość agregowania portów (</w:t>
            </w:r>
            <w:proofErr w:type="spellStart"/>
            <w:r>
              <w:rPr>
                <w:rFonts w:cstheme="minorHAnsi"/>
                <w:sz w:val="24"/>
                <w:szCs w:val="24"/>
              </w:rPr>
              <w:t>bond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port). </w:t>
            </w:r>
          </w:p>
        </w:tc>
      </w:tr>
      <w:tr w:rsidR="00564FD8" w14:paraId="4A8EFA7B" w14:textId="77777777" w:rsidTr="00564FD8">
        <w:trPr>
          <w:trHeight w:val="512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C0CBDC0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FD85A33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Obsługiwane protokoły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091C48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Wymagane wsparcie dla NFS, CIFS, FC.</w:t>
            </w:r>
          </w:p>
        </w:tc>
      </w:tr>
      <w:tr w:rsidR="00564FD8" w14:paraId="1A8D99F9" w14:textId="77777777" w:rsidTr="00356F42">
        <w:trPr>
          <w:trHeight w:val="370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A2C1221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C066D6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Zarządzanie 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35FA54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Zarządzanie serwerem kopii zapasowej (wszystkimi kontrolerami) z poziomu pojedynczego interfejsu </w:t>
            </w:r>
            <w:r>
              <w:rPr>
                <w:rFonts w:cstheme="minorHAnsi"/>
                <w:sz w:val="24"/>
                <w:szCs w:val="24"/>
              </w:rPr>
              <w:t>graficznego. Wymagane jest stałe monitorowanie stanu serwera kopii zapasowej w tym monitorowanie wydajności obiektów takich jak:</w:t>
            </w:r>
          </w:p>
          <w:p w14:paraId="10D15983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cały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serwer kopii zapasowej</w:t>
            </w:r>
          </w:p>
          <w:p w14:paraId="4A63A6C5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kontrolery</w:t>
            </w:r>
            <w:proofErr w:type="spellEnd"/>
          </w:p>
          <w:p w14:paraId="6C01A589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- CPU</w:t>
            </w:r>
          </w:p>
          <w:p w14:paraId="16386E09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- porty front-end</w:t>
            </w:r>
          </w:p>
          <w:p w14:paraId="0DE20D17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porty logiczne</w:t>
            </w:r>
          </w:p>
          <w:p w14:paraId="341CD936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dyski</w:t>
            </w:r>
          </w:p>
          <w:p w14:paraId="51C5CCC0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file systemy</w:t>
            </w:r>
          </w:p>
          <w:p w14:paraId="2C4CBD50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Pod kątem </w:t>
            </w:r>
            <w:r>
              <w:rPr>
                <w:rFonts w:cstheme="minorHAnsi"/>
                <w:sz w:val="24"/>
                <w:szCs w:val="24"/>
              </w:rPr>
              <w:t>parametrów takich jak:</w:t>
            </w:r>
          </w:p>
          <w:p w14:paraId="17077E8E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operacje wejścia/wyjścia IOPS</w:t>
            </w:r>
          </w:p>
          <w:p w14:paraId="158ED4EC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przepustowość (KB/s lub MB/s)</w:t>
            </w:r>
          </w:p>
          <w:p w14:paraId="238B1237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czas odpowiedzi (</w:t>
            </w:r>
            <w:proofErr w:type="spellStart"/>
            <w:r>
              <w:rPr>
                <w:rFonts w:cstheme="minorHAnsi"/>
                <w:sz w:val="24"/>
                <w:szCs w:val="24"/>
              </w:rPr>
              <w:t>latency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  <w:p w14:paraId="29468F77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średnie użycie (w % dla CPU)</w:t>
            </w:r>
          </w:p>
          <w:p w14:paraId="12FA86A6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Wymagana możliwość dostępu do historycznych danych wydajnościowych z poziomu GUI urządzenia do co najmniej 2 l</w:t>
            </w:r>
            <w:r>
              <w:rPr>
                <w:rFonts w:cstheme="minorHAnsi"/>
                <w:sz w:val="24"/>
                <w:szCs w:val="24"/>
              </w:rPr>
              <w:t xml:space="preserve">at wstecz lub jako równoważne dostarczenie fizycznego serwera z oprogramowaniem umożliwiającym zbieranie i przeglądanie danych historycznych. </w:t>
            </w:r>
          </w:p>
          <w:p w14:paraId="300C4D8C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ramach graficznego interfejsu serwera kopii zapasowej wymagany jest dostęp do: </w:t>
            </w:r>
          </w:p>
          <w:p w14:paraId="6307B306" w14:textId="77777777" w:rsidR="00564FD8" w:rsidRDefault="00356F4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Informacji o całej dostępnej pr</w:t>
            </w:r>
            <w:r>
              <w:rPr>
                <w:rFonts w:cstheme="minorHAnsi"/>
                <w:sz w:val="24"/>
                <w:szCs w:val="24"/>
              </w:rPr>
              <w:t xml:space="preserve">zestrzeni </w:t>
            </w:r>
          </w:p>
          <w:p w14:paraId="396BCBBD" w14:textId="77777777" w:rsidR="00564FD8" w:rsidRDefault="00356F4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Informacji o wykorzystanej przestrzeni oraz aktualnym współczynniku redukcji danych. </w:t>
            </w:r>
          </w:p>
          <w:p w14:paraId="7773F456" w14:textId="77777777" w:rsidR="00564FD8" w:rsidRDefault="00356F4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informacji o udostępnionej przestrzeni dyskowej</w:t>
            </w:r>
          </w:p>
          <w:p w14:paraId="36718FEA" w14:textId="77777777" w:rsidR="00564FD8" w:rsidRDefault="00356F4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Informacji o ilości danych zapisanych przez serwer/serwery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backup’u</w:t>
            </w:r>
            <w:proofErr w:type="spellEnd"/>
          </w:p>
          <w:p w14:paraId="3DAAC379" w14:textId="77777777" w:rsidR="00564FD8" w:rsidRDefault="00356F4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informacji o prognozowanym zużyciu przestrz</w:t>
            </w:r>
            <w:r>
              <w:rPr>
                <w:rFonts w:cstheme="minorHAnsi"/>
                <w:sz w:val="24"/>
                <w:szCs w:val="24"/>
              </w:rPr>
              <w:t>eni w przyszłości.</w:t>
            </w:r>
          </w:p>
          <w:p w14:paraId="5B19CD06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Wymagana możliwość tworzenia raportów o historycznym zużyciu przestrzeni.</w:t>
            </w:r>
          </w:p>
          <w:p w14:paraId="07DB57BE" w14:textId="77777777" w:rsidR="00564FD8" w:rsidRDefault="00356F4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Wymagane wsparcie dla Multi-</w:t>
            </w:r>
            <w:proofErr w:type="spellStart"/>
            <w:r>
              <w:rPr>
                <w:rFonts w:cstheme="minorHAnsi"/>
                <w:sz w:val="24"/>
                <w:szCs w:val="24"/>
              </w:rPr>
              <w:t>factor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authentication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  <w:p w14:paraId="04C1D178" w14:textId="77777777" w:rsidR="00564FD8" w:rsidRDefault="00356F4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Wymagana możliwość definiowania polityk logowania.</w:t>
            </w:r>
          </w:p>
        </w:tc>
      </w:tr>
      <w:tr w:rsidR="00564FD8" w14:paraId="70009F08" w14:textId="77777777" w:rsidTr="00564FD8">
        <w:trPr>
          <w:trHeight w:val="145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558B3D5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F7CC11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Redukcja danych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5C9247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Urządzenie musi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deduplikować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dane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inline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przed zapisem na nośnik dyskowy.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być globalna. Technologia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wykorzystywać algorytm bazujący na zmiennym bloku. Algorytm ten musi samoczynnie i automatycznie dopasowywać się do otrz</w:t>
            </w:r>
            <w:r>
              <w:rPr>
                <w:rFonts w:cstheme="minorHAnsi"/>
                <w:sz w:val="24"/>
                <w:szCs w:val="24"/>
              </w:rPr>
              <w:t xml:space="preserve">ymywanego strumienia danych. Proces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odbywać się </w:t>
            </w:r>
            <w:proofErr w:type="spellStart"/>
            <w:r>
              <w:rPr>
                <w:rFonts w:cstheme="minorHAnsi"/>
                <w:sz w:val="24"/>
                <w:szCs w:val="24"/>
              </w:rPr>
              <w:t>inline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– w pamięci urządzenia, przed zapisem danych na nośnik dyskowy. Dane muszą być poddane także procesowi kompresji. </w:t>
            </w:r>
          </w:p>
          <w:p w14:paraId="49646910" w14:textId="77777777" w:rsidR="00564FD8" w:rsidRDefault="00564FD8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  <w:p w14:paraId="2C1F584A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także obsługa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na źródle, co pozwala ograniczy</w:t>
            </w:r>
            <w:r>
              <w:rPr>
                <w:rFonts w:cstheme="minorHAnsi"/>
                <w:sz w:val="24"/>
                <w:szCs w:val="24"/>
              </w:rPr>
              <w:t>ć zużycie sieci.</w:t>
            </w:r>
          </w:p>
          <w:p w14:paraId="498AE1AE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Musi być oficjalne wsparcie producenta dla oferowanego serwer</w:t>
            </w:r>
            <w:r>
              <w:rPr>
                <w:rFonts w:cstheme="minorHAnsi"/>
                <w:color w:val="FF0000"/>
                <w:sz w:val="24"/>
                <w:szCs w:val="24"/>
              </w:rPr>
              <w:t>a</w:t>
            </w:r>
            <w:r>
              <w:rPr>
                <w:rFonts w:cstheme="minorHAnsi"/>
                <w:sz w:val="24"/>
                <w:szCs w:val="24"/>
              </w:rPr>
              <w:t xml:space="preserve"> kopii zapasowej maksymalnego stopnia redukcji danych co najmniej 65:1</w:t>
            </w:r>
          </w:p>
        </w:tc>
      </w:tr>
      <w:tr w:rsidR="00564FD8" w14:paraId="5D44D412" w14:textId="77777777" w:rsidTr="00564FD8">
        <w:trPr>
          <w:trHeight w:val="922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E1F967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229DC3B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Kontrola zasobów plikowych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F287EA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możliwość skonfigurowania tzw. </w:t>
            </w:r>
            <w:proofErr w:type="spellStart"/>
            <w:r>
              <w:rPr>
                <w:rFonts w:cstheme="minorHAnsi"/>
                <w:sz w:val="24"/>
                <w:szCs w:val="24"/>
              </w:rPr>
              <w:t>quoty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ograniczającej wystawione zasoby plikowe. Wymagana możliwość ograniczenia użytkownikom przestrzeni z której mogą korzystać lub liczby plików jakie mogą być przechowywane na udostępnionej przestrzeni. </w:t>
            </w:r>
          </w:p>
          <w:p w14:paraId="75551CF5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</w:t>
            </w:r>
            <w:r>
              <w:rPr>
                <w:rFonts w:cstheme="minorHAnsi"/>
                <w:sz w:val="24"/>
                <w:szCs w:val="24"/>
              </w:rPr>
              <w:t>możliwość ograniczenia dostępu do udziałów CIFS/NFS poprzez zdefiniowanie adresów IP lub ich przedziałów, które będą miały do nich dostęp.</w:t>
            </w:r>
          </w:p>
        </w:tc>
      </w:tr>
      <w:tr w:rsidR="00564FD8" w14:paraId="1E36C9A5" w14:textId="77777777" w:rsidTr="00564FD8">
        <w:trPr>
          <w:trHeight w:val="145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4889420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A76471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Ochrona zasobów plikowych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C53492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Tworzenie na żądanie tzw. migawkowej kopii danych (ang.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 file </w:t>
            </w:r>
            <w:proofErr w:type="spellStart"/>
            <w:r>
              <w:rPr>
                <w:rFonts w:cstheme="minorHAnsi"/>
                <w:sz w:val="24"/>
                <w:szCs w:val="24"/>
              </w:rPr>
              <w:t>system’ów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w ramach serwera kopii zapasowej do wykorzystania w celu np. wykonywania kopii zapasowych. Wymagana jest możliwość utworzenia harmonogramu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snapshotów</w:t>
            </w:r>
            <w:proofErr w:type="spellEnd"/>
            <w:r>
              <w:rPr>
                <w:rFonts w:cstheme="minorHAnsi"/>
                <w:sz w:val="24"/>
                <w:szCs w:val="24"/>
              </w:rPr>
              <w:t>, które będą zabezpieczone</w:t>
            </w:r>
            <w:r>
              <w:rPr>
                <w:rFonts w:cstheme="minorHAnsi"/>
                <w:sz w:val="24"/>
                <w:szCs w:val="24"/>
              </w:rPr>
              <w:t xml:space="preserve"> przed modyfikacją oraz usunięciem przez wybrany okres czasu bez odpowiednich uprawnień celem przywrócenia danych w przypadku ataku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ransomware</w:t>
            </w:r>
            <w:proofErr w:type="spellEnd"/>
            <w:r>
              <w:rPr>
                <w:rFonts w:cstheme="minorHAnsi"/>
                <w:sz w:val="24"/>
                <w:szCs w:val="24"/>
              </w:rPr>
              <w:t>. Musi być możliwość odtworzenia danych z dowolnej kopii (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</w:t>
            </w:r>
            <w:proofErr w:type="spellEnd"/>
            <w:r>
              <w:rPr>
                <w:rFonts w:cstheme="minorHAnsi"/>
                <w:sz w:val="24"/>
                <w:szCs w:val="24"/>
              </w:rPr>
              <w:t>) wykonanej w ramach harmonogramu. Odtworzenie d</w:t>
            </w:r>
            <w:r>
              <w:rPr>
                <w:rFonts w:cstheme="minorHAnsi"/>
                <w:sz w:val="24"/>
                <w:szCs w:val="24"/>
              </w:rPr>
              <w:t xml:space="preserve">anych z jednej kopii nie może uniemożliwiać odtworzenia danych z innej kopii z innego punktu w czasie. </w:t>
            </w:r>
          </w:p>
          <w:p w14:paraId="3E7E7FB5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możliwość zablokowania plików przed modyfikacją oraz usunięciem (WORM) na poziomie całego file </w:t>
            </w:r>
            <w:proofErr w:type="spellStart"/>
            <w:r>
              <w:rPr>
                <w:rFonts w:cstheme="minorHAnsi"/>
                <w:sz w:val="24"/>
                <w:szCs w:val="24"/>
              </w:rPr>
              <w:t>system’u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EFE5605" w14:textId="3F572D16" w:rsidR="00564FD8" w:rsidRDefault="00356F42" w:rsidP="00C360A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Mechanizm ten musi być kompatybilny z</w:t>
            </w:r>
            <w:r>
              <w:rPr>
                <w:rFonts w:cstheme="minorHAnsi"/>
                <w:sz w:val="24"/>
                <w:szCs w:val="24"/>
              </w:rPr>
              <w:t xml:space="preserve"> oprogramowaniem do backupu </w:t>
            </w:r>
            <w:proofErr w:type="spellStart"/>
            <w:r>
              <w:rPr>
                <w:rFonts w:cstheme="minorHAnsi"/>
                <w:sz w:val="24"/>
                <w:szCs w:val="24"/>
              </w:rPr>
              <w:t>Commvault</w:t>
            </w:r>
            <w:proofErr w:type="spellEnd"/>
            <w:r w:rsidR="00C360A2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64FD8" w14:paraId="75FE1C07" w14:textId="77777777" w:rsidTr="00564FD8">
        <w:trPr>
          <w:trHeight w:val="2190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6E291E3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D038E3A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Replikacja danych 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741BF6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Urządzenie musi umożliwiać replikację danych do drugiego </w:t>
            </w:r>
            <w:r>
              <w:rPr>
                <w:rFonts w:cstheme="minorHAnsi"/>
                <w:sz w:val="24"/>
                <w:szCs w:val="24"/>
              </w:rPr>
              <w:t xml:space="preserve">urządzenia w ramach tej samej rodziny oferowanego serwer kopii zapasowej. Replikacja musi się odbywać w trybie asynchronicznym. Wymagana możliwość ograniczenia ilości przesyłanych danych poprzez ich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deduplikację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oraz kompresję.</w:t>
            </w:r>
          </w:p>
          <w:p w14:paraId="0D61A4DB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Serwer kopii zapasowej musi </w:t>
            </w:r>
            <w:r>
              <w:rPr>
                <w:rFonts w:cstheme="minorHAnsi"/>
                <w:sz w:val="24"/>
                <w:szCs w:val="24"/>
              </w:rPr>
              <w:t>umożliwiać konfigurację harmonogramu replikacji poprzez określenie interwału (np. replikacja co 60 min) lub konkretnych okien czasowych (np. w każdą sobotę o godz. 20:00).</w:t>
            </w:r>
          </w:p>
        </w:tc>
      </w:tr>
      <w:tr w:rsidR="00564FD8" w14:paraId="1427D897" w14:textId="77777777" w:rsidTr="00564FD8">
        <w:trPr>
          <w:trHeight w:val="753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0863AC5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88965B8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Funkcjonalności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1008A1" w14:textId="77777777" w:rsidR="00564FD8" w:rsidRDefault="00356F42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Wymagane jest dostarczenie licencji na wszystkie opisane powyżej funkcjonalności. </w:t>
            </w:r>
            <w:r>
              <w:rPr>
                <w:rFonts w:cstheme="minorHAnsi"/>
                <w:b/>
                <w:sz w:val="24"/>
                <w:szCs w:val="24"/>
              </w:rPr>
              <w:t>Licencje muszą być wieczyste.</w:t>
            </w:r>
          </w:p>
        </w:tc>
      </w:tr>
      <w:tr w:rsidR="00564FD8" w14:paraId="17C6834F" w14:textId="77777777" w:rsidTr="00564FD8">
        <w:trPr>
          <w:trHeight w:val="644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7ACD300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C277F0B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Wspierane systemy backup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418CE2" w14:textId="77777777" w:rsidR="00564FD8" w:rsidRDefault="00356F42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Urządzenie musi wspierać co najmniej następujące aplikacje do backupu: </w:t>
            </w:r>
            <w:proofErr w:type="spellStart"/>
            <w:r>
              <w:rPr>
                <w:rFonts w:cstheme="minorHAnsi"/>
                <w:sz w:val="24"/>
                <w:szCs w:val="24"/>
              </w:rPr>
              <w:t>Commvault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Veritas </w:t>
            </w:r>
            <w:proofErr w:type="spellStart"/>
            <w:r>
              <w:rPr>
                <w:rFonts w:cstheme="minorHAnsi"/>
                <w:sz w:val="24"/>
                <w:szCs w:val="24"/>
              </w:rPr>
              <w:t>NetBackup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Veeam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Backup&amp;Replication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64FD8" w14:paraId="261475C2" w14:textId="77777777" w:rsidTr="00564FD8">
        <w:trPr>
          <w:trHeight w:val="2351"/>
        </w:trPr>
        <w:tc>
          <w:tcPr>
            <w:tcW w:w="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5A832EF" w14:textId="77777777" w:rsidR="00564FD8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0B6CE5F" w14:textId="77777777" w:rsidR="00564FD8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Obsługa serwisowa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17DA4B" w14:textId="77777777" w:rsidR="00564FD8" w:rsidRPr="00356F42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56F42">
              <w:rPr>
                <w:rFonts w:cstheme="minorHAnsi"/>
                <w:sz w:val="24"/>
                <w:szCs w:val="24"/>
              </w:rPr>
              <w:t xml:space="preserve">Serwer kopii zapasowej musi posiadać możliwość </w:t>
            </w:r>
            <w:proofErr w:type="spellStart"/>
            <w:r w:rsidRPr="00356F42">
              <w:rPr>
                <w:rFonts w:cstheme="minorHAnsi"/>
                <w:sz w:val="24"/>
                <w:szCs w:val="24"/>
              </w:rPr>
              <w:t>upgrade’u</w:t>
            </w:r>
            <w:proofErr w:type="spellEnd"/>
            <w:r w:rsidRPr="00356F4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356F42">
              <w:rPr>
                <w:rFonts w:cstheme="minorHAnsi"/>
                <w:sz w:val="24"/>
                <w:szCs w:val="24"/>
              </w:rPr>
              <w:t>firmware</w:t>
            </w:r>
            <w:proofErr w:type="spellEnd"/>
            <w:r w:rsidRPr="00356F42">
              <w:rPr>
                <w:rFonts w:cstheme="minorHAnsi"/>
                <w:sz w:val="24"/>
                <w:szCs w:val="24"/>
              </w:rPr>
              <w:t>-u kontrolerów bez przerywania dostępu do danych.</w:t>
            </w:r>
          </w:p>
          <w:p w14:paraId="3E1E4989" w14:textId="77777777" w:rsidR="00564FD8" w:rsidRPr="00356F42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56F42">
              <w:rPr>
                <w:rFonts w:cstheme="minorHAnsi"/>
                <w:sz w:val="24"/>
                <w:szCs w:val="24"/>
              </w:rPr>
              <w:t xml:space="preserve">Urządzenie przystosowane do napraw w miejscu instalacji oraz wymiany elementów bez </w:t>
            </w:r>
            <w:r w:rsidRPr="00356F42">
              <w:rPr>
                <w:rFonts w:cstheme="minorHAnsi"/>
                <w:sz w:val="24"/>
                <w:szCs w:val="24"/>
              </w:rPr>
              <w:t>konieczności jego wyłączania.</w:t>
            </w:r>
          </w:p>
          <w:p w14:paraId="2AF7E1E4" w14:textId="77777777" w:rsidR="00564FD8" w:rsidRPr="00356F42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56F42">
              <w:rPr>
                <w:rFonts w:cstheme="minorHAnsi"/>
                <w:sz w:val="24"/>
                <w:szCs w:val="24"/>
              </w:rPr>
              <w:t xml:space="preserve">Urządzenie musi umożliwiać zdalne zarządzanie. </w:t>
            </w:r>
          </w:p>
          <w:p w14:paraId="0EC9BA40" w14:textId="585DD846" w:rsidR="00564FD8" w:rsidRPr="00356F42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56F42">
              <w:rPr>
                <w:rFonts w:cstheme="minorHAnsi"/>
                <w:sz w:val="24"/>
                <w:szCs w:val="24"/>
              </w:rPr>
              <w:t>Urządzenie musi być fabrycznie nowe i pochodzić  z autoryzowanego kanału dystrybucji producenta, a także musi być objęte serwisem producenta lub autoryzowanego partnera serwisowego producenta. Wykonawca musi zapewnić, aby gwarancja/ obsługa serwisowa była świadczona na rzecz Zamawiającego i była dostępna w pełnym zakresie w języku polskim.</w:t>
            </w:r>
          </w:p>
          <w:p w14:paraId="6BFADFDF" w14:textId="77777777" w:rsidR="00564FD8" w:rsidRPr="00356F42" w:rsidRDefault="00356F42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356F42">
              <w:rPr>
                <w:rFonts w:cstheme="minorHAnsi"/>
                <w:b/>
                <w:sz w:val="24"/>
                <w:szCs w:val="24"/>
              </w:rPr>
              <w:t xml:space="preserve">Wymagana gwarancja na 5 lat </w:t>
            </w:r>
            <w:r w:rsidRPr="00356F42">
              <w:rPr>
                <w:rFonts w:cstheme="minorHAnsi"/>
                <w:b/>
                <w:sz w:val="24"/>
                <w:szCs w:val="24"/>
              </w:rPr>
              <w:t>( 60 miesięcy )</w:t>
            </w:r>
            <w:r w:rsidRPr="00356F42">
              <w:rPr>
                <w:rFonts w:cstheme="minorHAnsi"/>
                <w:b/>
                <w:sz w:val="24"/>
                <w:szCs w:val="24"/>
              </w:rPr>
              <w:t xml:space="preserve"> w trybie 9x5 NBD, </w:t>
            </w:r>
            <w:proofErr w:type="spellStart"/>
            <w:r w:rsidRPr="00356F42">
              <w:rPr>
                <w:rFonts w:cstheme="minorHAnsi"/>
                <w:b/>
                <w:sz w:val="24"/>
                <w:szCs w:val="24"/>
              </w:rPr>
              <w:t>tj</w:t>
            </w:r>
            <w:proofErr w:type="spellEnd"/>
            <w:r w:rsidRPr="00356F42">
              <w:rPr>
                <w:rFonts w:cstheme="minorHAnsi"/>
                <w:b/>
                <w:sz w:val="24"/>
                <w:szCs w:val="24"/>
              </w:rPr>
              <w:t>, obejmująca co najmniej poniższy zakres:</w:t>
            </w:r>
          </w:p>
          <w:p w14:paraId="126B6ED1" w14:textId="77777777" w:rsidR="00564FD8" w:rsidRPr="00356F42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56F42">
              <w:rPr>
                <w:rFonts w:cstheme="minorHAnsi"/>
                <w:sz w:val="24"/>
                <w:szCs w:val="24"/>
              </w:rPr>
              <w:t xml:space="preserve">W okresie </w:t>
            </w:r>
            <w:r w:rsidRPr="00356F42">
              <w:rPr>
                <w:rFonts w:cstheme="minorHAnsi"/>
                <w:sz w:val="24"/>
                <w:szCs w:val="24"/>
              </w:rPr>
              <w:t>gwarancji rozpoczęcie napraw gwarancyjnych nastąpi nie później niż w następnym dniu roboczym od chwili zarejestrowania zgłoszenia o awarii przekazanej e-mailem lub telefonicznie; z zastrzeżeniem, że:</w:t>
            </w:r>
          </w:p>
          <w:p w14:paraId="3E8704B1" w14:textId="77777777" w:rsidR="00564FD8" w:rsidRPr="00356F42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56F42">
              <w:rPr>
                <w:rFonts w:cstheme="minorHAnsi"/>
                <w:sz w:val="24"/>
                <w:szCs w:val="24"/>
              </w:rPr>
              <w:t>a.</w:t>
            </w:r>
            <w:r w:rsidRPr="00356F42">
              <w:rPr>
                <w:rFonts w:cstheme="minorHAnsi"/>
                <w:sz w:val="24"/>
                <w:szCs w:val="24"/>
              </w:rPr>
              <w:tab/>
              <w:t>Zamawiający ma możliwość zgłoszenia awarii przez całą</w:t>
            </w:r>
            <w:r w:rsidRPr="00356F42">
              <w:rPr>
                <w:rFonts w:cstheme="minorHAnsi"/>
                <w:sz w:val="24"/>
                <w:szCs w:val="24"/>
              </w:rPr>
              <w:t xml:space="preserve"> dobę.</w:t>
            </w:r>
          </w:p>
          <w:p w14:paraId="5CCBE00D" w14:textId="77777777" w:rsidR="00564FD8" w:rsidRPr="00356F42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56F42">
              <w:rPr>
                <w:rFonts w:cstheme="minorHAnsi"/>
                <w:sz w:val="24"/>
                <w:szCs w:val="24"/>
              </w:rPr>
              <w:t>b.</w:t>
            </w:r>
            <w:r w:rsidRPr="00356F42">
              <w:rPr>
                <w:rFonts w:cstheme="minorHAnsi"/>
                <w:sz w:val="24"/>
                <w:szCs w:val="24"/>
              </w:rPr>
              <w:tab/>
              <w:t xml:space="preserve">Zgłoszone przez Zamawiającego awarie po godzinie 16 w dni robocze (poniedziałek - piątek), w dni wolne od pracy (sobota-niedziela) oraz w dni ustawowo wolne (święta) będą rejestrowane w najbliższy dzień roboczy. </w:t>
            </w:r>
          </w:p>
          <w:p w14:paraId="145F4631" w14:textId="77777777" w:rsidR="00564FD8" w:rsidRPr="00356F42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56F42">
              <w:rPr>
                <w:rFonts w:cstheme="minorHAnsi"/>
                <w:sz w:val="24"/>
                <w:szCs w:val="24"/>
              </w:rPr>
              <w:t>Przez okres gwarancji wszystkie c</w:t>
            </w:r>
            <w:r w:rsidRPr="00356F42">
              <w:rPr>
                <w:rFonts w:cstheme="minorHAnsi"/>
                <w:sz w:val="24"/>
                <w:szCs w:val="24"/>
              </w:rPr>
              <w:t>zynności wymagane do jej zachowania, a w szczególności konserwacja, naprawy mechaniczne, przeglądy techniczne i serwis będą wykonywane przez autoryzowany serwis producenta. Jeżeli nie ma możliwości usunięcia awarii w miejscu zainstalowania przedmiotu zamów</w:t>
            </w:r>
            <w:r w:rsidRPr="00356F42">
              <w:rPr>
                <w:rFonts w:cstheme="minorHAnsi"/>
                <w:sz w:val="24"/>
                <w:szCs w:val="24"/>
              </w:rPr>
              <w:t>ienia ewentualny koszt transportu przedmiotu zamówienia do miejsca naprawy i z powrotem do miejsca instalacji u Zamawiającego musi być ujęty w cenie oferty.</w:t>
            </w:r>
          </w:p>
        </w:tc>
      </w:tr>
      <w:tr w:rsidR="00564FD8" w14:paraId="30B51823" w14:textId="77777777" w:rsidTr="00564FD8">
        <w:trPr>
          <w:trHeight w:val="2351"/>
        </w:trPr>
        <w:tc>
          <w:tcPr>
            <w:tcW w:w="50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F6508A" w14:textId="77777777" w:rsidR="00564FD8" w:rsidRPr="00356F42" w:rsidRDefault="00356F42">
            <w:pPr>
              <w:jc w:val="left"/>
              <w:rPr>
                <w:rFonts w:cstheme="minorHAnsi"/>
                <w:sz w:val="24"/>
                <w:szCs w:val="24"/>
              </w:rPr>
            </w:pPr>
            <w:r w:rsidRPr="00356F42"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CBFC1" w14:textId="77777777" w:rsidR="00564FD8" w:rsidRPr="00356F42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56F42">
              <w:rPr>
                <w:rFonts w:cstheme="minorHAnsi"/>
                <w:sz w:val="24"/>
                <w:szCs w:val="24"/>
              </w:rPr>
              <w:t xml:space="preserve">Instalacja 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14:paraId="41D5589B" w14:textId="32EEAD5D" w:rsidR="00564FD8" w:rsidRPr="00356F42" w:rsidRDefault="00356F4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56F42">
              <w:rPr>
                <w:rFonts w:cstheme="minorHAnsi"/>
                <w:sz w:val="24"/>
                <w:szCs w:val="24"/>
              </w:rPr>
              <w:t xml:space="preserve">Wykonawca jest zobowiązany zainstalować przedmiot umowy w miejscu wskazanym przez Zamawiającego. </w:t>
            </w:r>
            <w:r w:rsidRPr="00356F42">
              <w:rPr>
                <w:rFonts w:cstheme="minorHAnsi"/>
                <w:sz w:val="24"/>
                <w:szCs w:val="24"/>
              </w:rPr>
              <w:t>Dodatkowo Wykonawca musi przeprowadzić konfigurację urządzenia zgodnie z wytycznymi Zamawiającego</w:t>
            </w:r>
            <w:r w:rsidR="00C360A2" w:rsidRPr="00356F42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2E6BCAC9" w14:textId="77777777" w:rsidR="00564FD8" w:rsidRDefault="00356F42">
      <w:pPr>
        <w:spacing w:afterAutospacing="1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W związku z realizacją przedmiotowego zamówienia nie występuje konieczność uwzględnienia wymogów dostępności dla osób ze szczególnymi potrzebami zgodnie z </w:t>
      </w:r>
      <w:r>
        <w:rPr>
          <w:rFonts w:cstheme="minorHAnsi"/>
          <w:i/>
          <w:sz w:val="24"/>
          <w:szCs w:val="24"/>
        </w:rPr>
        <w:lastRenderedPageBreak/>
        <w:t xml:space="preserve">zasadami wynikającymi z postanowień ustawy </w:t>
      </w:r>
      <w:r>
        <w:rPr>
          <w:rFonts w:cstheme="minorHAnsi"/>
          <w:i/>
          <w:sz w:val="24"/>
          <w:szCs w:val="24"/>
        </w:rPr>
        <w:t>z dnia 19 lipca 2019 r. o zapewnieniu dostępności osobom ze szczególnymi potrzebami (Dz.U. z 2024 r., poz. 1411 ze zm.)</w:t>
      </w:r>
    </w:p>
    <w:p w14:paraId="784F5336" w14:textId="77777777" w:rsidR="00564FD8" w:rsidRDefault="00564FD8">
      <w:pPr>
        <w:spacing w:line="240" w:lineRule="auto"/>
        <w:rPr>
          <w:rFonts w:cstheme="minorHAnsi"/>
          <w:sz w:val="24"/>
          <w:szCs w:val="24"/>
        </w:rPr>
      </w:pPr>
    </w:p>
    <w:p w14:paraId="163848CA" w14:textId="77777777" w:rsidR="00564FD8" w:rsidRDefault="00564FD8">
      <w:pPr>
        <w:rPr>
          <w:rFonts w:cstheme="minorHAnsi"/>
          <w:sz w:val="24"/>
          <w:szCs w:val="24"/>
        </w:rPr>
      </w:pPr>
    </w:p>
    <w:sectPr w:rsidR="00564FD8">
      <w:pgSz w:w="11906" w:h="16838"/>
      <w:pgMar w:top="1417" w:right="1552" w:bottom="1417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default"/>
    <w:sig w:usb0="00000000" w:usb1="00000000" w:usb2="00000000" w:usb3="00000000" w:csb0="00040001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68CD"/>
    <w:multiLevelType w:val="multilevel"/>
    <w:tmpl w:val="7D34A0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D8A1A3A"/>
    <w:multiLevelType w:val="multilevel"/>
    <w:tmpl w:val="CFAC8662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860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FD8"/>
    <w:rsid w:val="0000340D"/>
    <w:rsid w:val="00356F42"/>
    <w:rsid w:val="00564FD8"/>
    <w:rsid w:val="009E4B6E"/>
    <w:rsid w:val="00C3494B"/>
    <w:rsid w:val="00C3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FA38"/>
  <w15:docId w15:val="{39D81F5C-F48D-4297-86CF-95BF4EC8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5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E88"/>
    <w:pPr>
      <w:spacing w:after="120" w:line="276" w:lineRule="auto"/>
      <w:contextualSpacing/>
      <w:jc w:val="both"/>
    </w:pPr>
    <w:rPr>
      <w:rFonts w:eastAsia="MS Mincho" w:cs="Times New Roman"/>
      <w:sz w:val="22"/>
      <w:szCs w:val="20"/>
      <w:lang w:eastAsia="ja-JP"/>
    </w:rPr>
  </w:style>
  <w:style w:type="paragraph" w:styleId="Nagwek1">
    <w:name w:val="heading 1"/>
    <w:basedOn w:val="Normalny"/>
    <w:next w:val="Normalny"/>
    <w:link w:val="Nagwek1Znak"/>
    <w:qFormat/>
    <w:rsid w:val="00E90E88"/>
    <w:pPr>
      <w:keepNext/>
      <w:numPr>
        <w:numId w:val="1"/>
      </w:numPr>
      <w:spacing w:before="600" w:after="240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link w:val="Nagwek2Znak"/>
    <w:qFormat/>
    <w:rsid w:val="00E90E88"/>
    <w:pPr>
      <w:keepNext/>
      <w:numPr>
        <w:ilvl w:val="1"/>
        <w:numId w:val="1"/>
      </w:numPr>
      <w:spacing w:before="480" w:after="240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90E88"/>
    <w:pPr>
      <w:keepNext/>
      <w:numPr>
        <w:ilvl w:val="2"/>
        <w:numId w:val="1"/>
      </w:numPr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90E88"/>
    <w:pPr>
      <w:keepNext/>
      <w:numPr>
        <w:ilvl w:val="3"/>
        <w:numId w:val="1"/>
      </w:numPr>
      <w:spacing w:before="20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E90E88"/>
    <w:pPr>
      <w:numPr>
        <w:ilvl w:val="4"/>
        <w:numId w:val="1"/>
      </w:numPr>
      <w:spacing w:before="240" w:after="60"/>
      <w:outlineLvl w:val="4"/>
    </w:pPr>
    <w:rPr>
      <w:rFonts w:eastAsia="Times New Roman"/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E90E88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90E88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90E88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90E88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90E88"/>
    <w:rPr>
      <w:rFonts w:ascii="Calibri" w:eastAsia="MS Mincho" w:hAnsi="Calibri" w:cs="Times New Roman"/>
      <w:b/>
      <w:bCs/>
      <w:sz w:val="32"/>
      <w:szCs w:val="20"/>
      <w:lang w:eastAsia="ja-JP"/>
    </w:rPr>
  </w:style>
  <w:style w:type="character" w:customStyle="1" w:styleId="Nagwek2Znak">
    <w:name w:val="Nagłówek 2 Znak"/>
    <w:basedOn w:val="Domylnaczcionkaakapitu"/>
    <w:link w:val="Nagwek2"/>
    <w:qFormat/>
    <w:rsid w:val="00E90E88"/>
    <w:rPr>
      <w:rFonts w:ascii="Calibri" w:eastAsia="MS Mincho" w:hAnsi="Calibri" w:cs="Times New Roman"/>
      <w:b/>
      <w:sz w:val="28"/>
      <w:szCs w:val="20"/>
      <w:lang w:eastAsia="ja-JP"/>
    </w:rPr>
  </w:style>
  <w:style w:type="character" w:customStyle="1" w:styleId="Nagwek3Znak">
    <w:name w:val="Nagłówek 3 Znak"/>
    <w:basedOn w:val="Domylnaczcionkaakapitu"/>
    <w:link w:val="Nagwek3"/>
    <w:qFormat/>
    <w:rsid w:val="00E90E88"/>
    <w:rPr>
      <w:rFonts w:ascii="Calibri" w:eastAsia="Times New Roman" w:hAnsi="Calibri" w:cs="Times New Roman"/>
      <w:b/>
      <w:bCs/>
      <w:szCs w:val="26"/>
      <w:lang w:eastAsia="ja-JP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E90E88"/>
    <w:rPr>
      <w:rFonts w:ascii="Calibri" w:eastAsia="Times New Roman" w:hAnsi="Calibri" w:cs="Times New Roman"/>
      <w:b/>
      <w:bCs/>
      <w:sz w:val="22"/>
      <w:szCs w:val="28"/>
      <w:lang w:eastAsia="ja-JP"/>
    </w:rPr>
  </w:style>
  <w:style w:type="character" w:customStyle="1" w:styleId="Nagwek5Znak">
    <w:name w:val="Nagłówek 5 Znak"/>
    <w:basedOn w:val="Domylnaczcionkaakapitu"/>
    <w:link w:val="Nagwek5"/>
    <w:qFormat/>
    <w:rsid w:val="00E90E88"/>
    <w:rPr>
      <w:rFonts w:ascii="Calibri" w:eastAsia="Times New Roman" w:hAnsi="Calibri" w:cs="Times New Roman"/>
      <w:bCs/>
      <w:iCs/>
      <w:sz w:val="22"/>
      <w:szCs w:val="26"/>
      <w:lang w:eastAsia="ja-JP"/>
    </w:rPr>
  </w:style>
  <w:style w:type="character" w:customStyle="1" w:styleId="Nagwek6Znak">
    <w:name w:val="Nagłówek 6 Znak"/>
    <w:basedOn w:val="Domylnaczcionkaakapitu"/>
    <w:link w:val="Nagwek6"/>
    <w:qFormat/>
    <w:rsid w:val="00E90E88"/>
    <w:rPr>
      <w:rFonts w:ascii="Calibri" w:eastAsia="Times New Roman" w:hAnsi="Calibri" w:cs="Times New Roman"/>
      <w:b/>
      <w:bCs/>
      <w:sz w:val="22"/>
      <w:szCs w:val="22"/>
      <w:lang w:eastAsia="ja-JP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0E88"/>
    <w:rPr>
      <w:rFonts w:ascii="Calibri" w:eastAsia="Times New Roman" w:hAnsi="Calibri" w:cs="Times New Roman"/>
      <w:lang w:eastAsia="ja-JP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E90E88"/>
    <w:rPr>
      <w:rFonts w:ascii="Calibri" w:eastAsia="Times New Roman" w:hAnsi="Calibri" w:cs="Times New Roman"/>
      <w:i/>
      <w:iCs/>
      <w:lang w:eastAsia="ja-JP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E90E88"/>
    <w:rPr>
      <w:rFonts w:ascii="Cambria" w:eastAsia="Times New Roman" w:hAnsi="Cambria" w:cs="Times New Roman"/>
      <w:sz w:val="22"/>
      <w:szCs w:val="22"/>
      <w:lang w:eastAsia="ja-JP"/>
    </w:rPr>
  </w:style>
  <w:style w:type="character" w:customStyle="1" w:styleId="AkapitzlistZnak">
    <w:name w:val="Akapit z listą Znak"/>
    <w:link w:val="Akapitzlist"/>
    <w:uiPriority w:val="34"/>
    <w:qFormat/>
    <w:rsid w:val="00E90E88"/>
    <w:rPr>
      <w:rFonts w:ascii="Calibri" w:eastAsia="MS Mincho" w:hAnsi="Calibri" w:cs="Times New Roman"/>
      <w:sz w:val="22"/>
      <w:szCs w:val="20"/>
      <w:lang w:eastAsia="ja-JP"/>
    </w:rPr>
  </w:style>
  <w:style w:type="character" w:customStyle="1" w:styleId="NagwekZnak">
    <w:name w:val="Nagłówek Znak"/>
    <w:basedOn w:val="Domylnaczcionkaakapitu"/>
    <w:link w:val="Nagwek"/>
    <w:uiPriority w:val="15"/>
    <w:qFormat/>
    <w:rsid w:val="00525427"/>
    <w:rPr>
      <w:rFonts w:ascii="Arial" w:eastAsia="Andale Sans UI" w:hAnsi="Arial" w:cs="Arial"/>
      <w:kern w:val="2"/>
      <w:sz w:val="28"/>
      <w:szCs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525427"/>
    <w:rPr>
      <w:rFonts w:ascii="Calibri" w:eastAsia="MS Mincho" w:hAnsi="Calibri" w:cs="Times New Roman"/>
      <w:sz w:val="22"/>
      <w:szCs w:val="20"/>
      <w:lang w:eastAsia="ja-JP"/>
    </w:rPr>
  </w:style>
  <w:style w:type="paragraph" w:styleId="Nagwek">
    <w:name w:val="header"/>
    <w:basedOn w:val="Normalny"/>
    <w:next w:val="Tekstpodstawowy"/>
    <w:link w:val="NagwekZnak"/>
    <w:uiPriority w:val="15"/>
    <w:rsid w:val="00525427"/>
    <w:pPr>
      <w:keepNext/>
      <w:widowControl w:val="0"/>
      <w:spacing w:before="240" w:line="240" w:lineRule="auto"/>
      <w:contextualSpacing w:val="0"/>
      <w:jc w:val="left"/>
    </w:pPr>
    <w:rPr>
      <w:rFonts w:ascii="Arial" w:eastAsia="Andale Sans UI" w:hAnsi="Arial" w:cs="Arial"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5427"/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uiPriority w:val="35"/>
    <w:qFormat/>
    <w:rsid w:val="00E90E88"/>
    <w:rPr>
      <w:b/>
      <w:b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link w:val="AkapitzlistZnak"/>
    <w:uiPriority w:val="34"/>
    <w:qFormat/>
    <w:rsid w:val="00E90E88"/>
    <w:pPr>
      <w:ind w:left="720"/>
    </w:pPr>
  </w:style>
  <w:style w:type="paragraph" w:customStyle="1" w:styleId="Default">
    <w:name w:val="Default"/>
    <w:qFormat/>
    <w:rsid w:val="008447EF"/>
    <w:rPr>
      <w:rFonts w:ascii="Arial" w:eastAsia="Calibri" w:hAnsi="Arial" w:cs="Arial"/>
      <w:color w:val="000000"/>
    </w:rPr>
  </w:style>
  <w:style w:type="paragraph" w:customStyle="1" w:styleId="Gwkaistopka">
    <w:name w:val="Główka i stopka"/>
    <w:basedOn w:val="Normalny"/>
    <w:qFormat/>
  </w:style>
  <w:style w:type="table" w:customStyle="1" w:styleId="Tabela-EleganckiAW">
    <w:name w:val="Tabela - Elegancki AW"/>
    <w:basedOn w:val="Tabela-Elegancki"/>
    <w:uiPriority w:val="99"/>
    <w:rsid w:val="00E90E88"/>
    <w:rPr>
      <w:sz w:val="18"/>
      <w:szCs w:val="20"/>
      <w:lang w:eastAsia="pl-PL"/>
    </w:rPr>
    <w:tblPr/>
    <w:tcPr>
      <w:shd w:val="clear" w:color="auto" w:fill="auto"/>
      <w:vAlign w:val="center"/>
    </w:tcPr>
    <w:tblStylePr w:type="firstRow">
      <w:pPr>
        <w:wordWrap/>
        <w:spacing w:beforeLines="0" w:before="120" w:afterLines="0" w:after="120" w:line="276" w:lineRule="auto"/>
        <w:jc w:val="center"/>
      </w:pPr>
      <w:rPr>
        <w:b/>
        <w:i w:val="0"/>
        <w:caps/>
        <w:sz w:val="18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BFBFBF"/>
      </w:tcPr>
    </w:tblStylePr>
  </w:style>
  <w:style w:type="table" w:styleId="Tabela-Elegancki">
    <w:name w:val="Table Elegant"/>
    <w:basedOn w:val="Standardowy"/>
    <w:uiPriority w:val="99"/>
    <w:semiHidden/>
    <w:unhideWhenUsed/>
    <w:rsid w:val="00E90E88"/>
    <w:pPr>
      <w:spacing w:after="120" w:line="276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EleganckiAW1">
    <w:name w:val="Tabela - Elegancki AW1"/>
    <w:basedOn w:val="Tabela-Elegancki"/>
    <w:uiPriority w:val="99"/>
    <w:rsid w:val="000E67C3"/>
    <w:rPr>
      <w:sz w:val="18"/>
      <w:szCs w:val="20"/>
      <w:lang w:eastAsia="pl-PL"/>
    </w:rPr>
    <w:tblPr/>
    <w:tcPr>
      <w:shd w:val="clear" w:color="auto" w:fill="auto"/>
      <w:vAlign w:val="center"/>
    </w:tcPr>
    <w:tblStylePr w:type="firstRow">
      <w:pPr>
        <w:wordWrap/>
        <w:spacing w:beforeLines="0" w:before="120" w:afterLines="0" w:after="120" w:line="276" w:lineRule="auto"/>
        <w:jc w:val="center"/>
      </w:pPr>
      <w:rPr>
        <w:b/>
        <w:i w:val="0"/>
        <w:caps/>
        <w:sz w:val="18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BFBFBF"/>
      </w:tcPr>
    </w:tblStylePr>
  </w:style>
  <w:style w:type="table" w:styleId="Tabela-Siatka">
    <w:name w:val="Table Grid"/>
    <w:basedOn w:val="Standardowy"/>
    <w:uiPriority w:val="59"/>
    <w:rsid w:val="000E67C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ECCF0A21D16D41A0DA8C8838E228F8" ma:contentTypeVersion="18" ma:contentTypeDescription="Utwórz nowy dokument." ma:contentTypeScope="" ma:versionID="f14aa620a6450c0b2afc73ccf84b137d">
  <xsd:schema xmlns:xsd="http://www.w3.org/2001/XMLSchema" xmlns:xs="http://www.w3.org/2001/XMLSchema" xmlns:p="http://schemas.microsoft.com/office/2006/metadata/properties" xmlns:ns2="c8db5acc-aa12-4422-a624-49817d7211a3" xmlns:ns3="49047b5a-b0fe-4cef-bff2-04737d66fa68" targetNamespace="http://schemas.microsoft.com/office/2006/metadata/properties" ma:root="true" ma:fieldsID="4c0845bdd5c1732d09eeefd6f21ac005" ns2:_="" ns3:_="">
    <xsd:import namespace="c8db5acc-aa12-4422-a624-49817d7211a3"/>
    <xsd:import namespace="49047b5a-b0fe-4cef-bff2-04737d66f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b5acc-aa12-4422-a624-49817d7211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8e68cdd-70bf-4b8a-8b82-961f52dbf3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47b5a-b0fe-4cef-bff2-04737d66fa6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100e98a-d7e0-474b-a6c2-92293cc2b4ef}" ma:internalName="TaxCatchAll" ma:showField="CatchAllData" ma:web="49047b5a-b0fe-4cef-bff2-04737d66fa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db5acc-aa12-4422-a624-49817d7211a3">
      <Terms xmlns="http://schemas.microsoft.com/office/infopath/2007/PartnerControls"/>
    </lcf76f155ced4ddcb4097134ff3c332f>
    <TaxCatchAll xmlns="49047b5a-b0fe-4cef-bff2-04737d66fa68" xsi:nil="true"/>
  </documentManagement>
</p:properties>
</file>

<file path=customXml/itemProps1.xml><?xml version="1.0" encoding="utf-8"?>
<ds:datastoreItem xmlns:ds="http://schemas.openxmlformats.org/officeDocument/2006/customXml" ds:itemID="{5EC68ECF-FD04-44F3-AA6A-5A4CB6E8B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db5acc-aa12-4422-a624-49817d7211a3"/>
    <ds:schemaRef ds:uri="49047b5a-b0fe-4cef-bff2-04737d66fa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C221A6-E397-473A-B9FF-6C1BC75671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055DA3-05FF-4429-819D-4BD720B02963}">
  <ds:schemaRefs>
    <ds:schemaRef ds:uri="http://schemas.microsoft.com/office/2006/metadata/properties"/>
    <ds:schemaRef ds:uri="http://schemas.microsoft.com/office/infopath/2007/PartnerControls"/>
    <ds:schemaRef ds:uri="c8db5acc-aa12-4422-a624-49817d7211a3"/>
    <ds:schemaRef ds:uri="49047b5a-b0fe-4cef-bff2-04737d66fa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1266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dc:description/>
  <cp:lastModifiedBy>Paweł Starczewski</cp:lastModifiedBy>
  <cp:revision>2</cp:revision>
  <dcterms:created xsi:type="dcterms:W3CDTF">2025-03-13T12:41:00Z</dcterms:created>
  <dcterms:modified xsi:type="dcterms:W3CDTF">2025-03-13T12:41:00Z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0x01010022ECCF0A21D16D41A0DA8C8838E228F8</vt:lpwstr>
  </property>
</Properties>
</file>