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A41A7" w14:textId="77777777" w:rsidR="00A012A7" w:rsidRPr="00A012A7" w:rsidRDefault="00A012A7" w:rsidP="00A012A7">
      <w:pPr>
        <w:pStyle w:val="Normalnyparagraf7"/>
        <w:rPr>
          <w:b/>
          <w:bCs/>
          <w:sz w:val="20"/>
          <w:szCs w:val="14"/>
        </w:rPr>
      </w:pPr>
    </w:p>
    <w:p w14:paraId="582555B8" w14:textId="77777777" w:rsidR="00A012A7" w:rsidRPr="00A012A7" w:rsidRDefault="00A012A7" w:rsidP="00A012A7">
      <w:pPr>
        <w:pStyle w:val="Normalnyparagraf7"/>
        <w:jc w:val="center"/>
        <w:rPr>
          <w:b/>
          <w:bCs/>
          <w:sz w:val="20"/>
          <w:szCs w:val="14"/>
        </w:rPr>
      </w:pPr>
      <w:r w:rsidRPr="00A012A7">
        <w:rPr>
          <w:b/>
          <w:sz w:val="20"/>
          <w:szCs w:val="14"/>
        </w:rPr>
        <w:t>Opis przedmiotu zamówienia</w:t>
      </w:r>
    </w:p>
    <w:p w14:paraId="2B565A92" w14:textId="77777777" w:rsidR="00A012A7" w:rsidRDefault="00A012A7" w:rsidP="00A012A7">
      <w:pPr>
        <w:rPr>
          <w:b/>
          <w:sz w:val="16"/>
          <w:szCs w:val="16"/>
        </w:rPr>
      </w:pPr>
    </w:p>
    <w:p w14:paraId="2ADD6E01" w14:textId="77777777" w:rsidR="00A012A7" w:rsidRPr="00930B0B" w:rsidRDefault="00A012A7" w:rsidP="00A012A7">
      <w:pPr>
        <w:numPr>
          <w:ilvl w:val="0"/>
          <w:numId w:val="2"/>
        </w:numPr>
        <w:rPr>
          <w:b/>
          <w:sz w:val="16"/>
          <w:szCs w:val="16"/>
        </w:rPr>
      </w:pPr>
      <w:r w:rsidRPr="00930B0B">
        <w:rPr>
          <w:b/>
          <w:sz w:val="16"/>
          <w:szCs w:val="16"/>
        </w:rPr>
        <w:t>OPIS PRZEDMIOTU ZAMÓWIENIA</w:t>
      </w:r>
    </w:p>
    <w:p w14:paraId="0BD1E379" w14:textId="77777777" w:rsidR="00A012A7" w:rsidRPr="00930B0B" w:rsidRDefault="00A012A7" w:rsidP="00A012A7">
      <w:pPr>
        <w:rPr>
          <w:b/>
          <w:sz w:val="16"/>
          <w:szCs w:val="16"/>
        </w:rPr>
      </w:pPr>
    </w:p>
    <w:p w14:paraId="0E105AE6" w14:textId="77777777" w:rsidR="00A012A7" w:rsidRPr="00930B0B" w:rsidRDefault="00A012A7" w:rsidP="00A012A7">
      <w:pPr>
        <w:numPr>
          <w:ilvl w:val="0"/>
          <w:numId w:val="1"/>
        </w:numPr>
        <w:jc w:val="both"/>
        <w:rPr>
          <w:sz w:val="16"/>
          <w:szCs w:val="16"/>
        </w:rPr>
      </w:pPr>
      <w:r w:rsidRPr="00930B0B">
        <w:rPr>
          <w:sz w:val="16"/>
          <w:szCs w:val="16"/>
        </w:rPr>
        <w:t xml:space="preserve">Przedmiot zamówienia: </w:t>
      </w:r>
    </w:p>
    <w:p w14:paraId="247BD70A" w14:textId="77777777" w:rsidR="00A012A7" w:rsidRPr="00930B0B" w:rsidRDefault="00A012A7" w:rsidP="00A012A7">
      <w:pPr>
        <w:numPr>
          <w:ilvl w:val="1"/>
          <w:numId w:val="1"/>
        </w:numPr>
        <w:jc w:val="both"/>
        <w:rPr>
          <w:sz w:val="16"/>
          <w:szCs w:val="16"/>
        </w:rPr>
      </w:pPr>
      <w:r w:rsidRPr="00930B0B">
        <w:rPr>
          <w:sz w:val="16"/>
          <w:szCs w:val="16"/>
        </w:rPr>
        <w:t>Najem 2</w:t>
      </w:r>
      <w:r>
        <w:rPr>
          <w:sz w:val="16"/>
          <w:szCs w:val="16"/>
        </w:rPr>
        <w:t>8</w:t>
      </w:r>
      <w:r w:rsidRPr="00930B0B">
        <w:rPr>
          <w:sz w:val="16"/>
          <w:szCs w:val="16"/>
        </w:rPr>
        <w:t xml:space="preserve">0 szt. terminali POS. </w:t>
      </w:r>
    </w:p>
    <w:p w14:paraId="3DF557ED" w14:textId="77777777" w:rsidR="00A012A7" w:rsidRPr="00930B0B" w:rsidRDefault="00A012A7" w:rsidP="00A012A7">
      <w:pPr>
        <w:numPr>
          <w:ilvl w:val="1"/>
          <w:numId w:val="1"/>
        </w:numPr>
        <w:jc w:val="both"/>
        <w:rPr>
          <w:sz w:val="16"/>
          <w:szCs w:val="16"/>
        </w:rPr>
      </w:pPr>
      <w:r w:rsidRPr="00930B0B">
        <w:rPr>
          <w:sz w:val="16"/>
          <w:szCs w:val="16"/>
        </w:rPr>
        <w:t xml:space="preserve">Opcja zwiększenia najmu do </w:t>
      </w:r>
      <w:r>
        <w:rPr>
          <w:sz w:val="16"/>
          <w:szCs w:val="16"/>
        </w:rPr>
        <w:t>330</w:t>
      </w:r>
      <w:r w:rsidRPr="00930B0B">
        <w:rPr>
          <w:sz w:val="16"/>
          <w:szCs w:val="16"/>
        </w:rPr>
        <w:t xml:space="preserve"> szt. terminali płatniczych </w:t>
      </w:r>
      <w:r>
        <w:rPr>
          <w:sz w:val="16"/>
          <w:szCs w:val="16"/>
        </w:rPr>
        <w:t>POS</w:t>
      </w:r>
      <w:r w:rsidRPr="00930B0B">
        <w:rPr>
          <w:sz w:val="16"/>
          <w:szCs w:val="16"/>
        </w:rPr>
        <w:t xml:space="preserve">, gdzie Zamawiający zachowuje sobie prawo do zwiększenia najmu w całym okresie Umowy, a Wykonawca ma 14 dni, liczone od pisemnego powiadomienia Wykonawcy o skorzystaniu z prawa opcji na dostarczenie urządzeń. Skorzystanie z prawa opcji wymaga pisemnego poinformowania Wykonawcy w terminie 7 dni kalendarzowych przed prognozowanym zwiększeniem zapotrzebowania na terminale </w:t>
      </w:r>
      <w:r>
        <w:rPr>
          <w:sz w:val="16"/>
          <w:szCs w:val="16"/>
        </w:rPr>
        <w:t>POS</w:t>
      </w:r>
      <w:r w:rsidRPr="00930B0B">
        <w:rPr>
          <w:sz w:val="16"/>
          <w:szCs w:val="16"/>
        </w:rPr>
        <w:t xml:space="preserve">. </w:t>
      </w:r>
    </w:p>
    <w:p w14:paraId="083AE8E8" w14:textId="77777777" w:rsidR="00A012A7" w:rsidRPr="00930B0B" w:rsidRDefault="00A012A7" w:rsidP="00A012A7">
      <w:pPr>
        <w:jc w:val="both"/>
        <w:rPr>
          <w:bCs/>
          <w:sz w:val="16"/>
          <w:szCs w:val="16"/>
        </w:rPr>
      </w:pPr>
      <w:r w:rsidRPr="00930B0B">
        <w:rPr>
          <w:bCs/>
          <w:sz w:val="16"/>
          <w:szCs w:val="16"/>
        </w:rPr>
        <w:t>Terminal płatniczy POS – urządzenie elektroniczne służące do akceptowania transakcji płatniczych  wykonywanych  przy  użyciu  kart  płatniczych  wyposażonych  w  pasek magnetyczny,  chip  elektroniczny  oraz  funkcjonalność  transakcji  zbliżeniowej, BLIK.</w:t>
      </w:r>
    </w:p>
    <w:p w14:paraId="5705BC89" w14:textId="77777777" w:rsidR="00A012A7" w:rsidRPr="00930B0B" w:rsidRDefault="00A012A7" w:rsidP="00A012A7">
      <w:pPr>
        <w:jc w:val="both"/>
        <w:rPr>
          <w:sz w:val="16"/>
          <w:szCs w:val="16"/>
        </w:rPr>
      </w:pPr>
      <w:r w:rsidRPr="00930B0B">
        <w:rPr>
          <w:bCs/>
          <w:sz w:val="16"/>
          <w:szCs w:val="16"/>
        </w:rPr>
        <w:t xml:space="preserve">W skład zestawu wchodzi terminal </w:t>
      </w:r>
      <w:r>
        <w:rPr>
          <w:bCs/>
          <w:sz w:val="16"/>
          <w:szCs w:val="16"/>
        </w:rPr>
        <w:t>POS</w:t>
      </w:r>
      <w:r w:rsidRPr="00930B0B">
        <w:rPr>
          <w:bCs/>
          <w:sz w:val="16"/>
          <w:szCs w:val="16"/>
        </w:rPr>
        <w:t xml:space="preserve">, akcesoria niezbędne do prawidłowego działania, w tym niezbędne przewody połączeniowe, oprogramowanie sterujące pozwalające na poprawną eksploatację terminala płatniczego, instrukcja obsługi dla użytkowników w języku polskim. </w:t>
      </w:r>
    </w:p>
    <w:p w14:paraId="121EACB6" w14:textId="77777777" w:rsidR="00A012A7" w:rsidRPr="00930B0B" w:rsidRDefault="00A012A7" w:rsidP="00A012A7">
      <w:pPr>
        <w:numPr>
          <w:ilvl w:val="1"/>
          <w:numId w:val="1"/>
        </w:numPr>
        <w:jc w:val="both"/>
        <w:rPr>
          <w:bCs/>
          <w:sz w:val="16"/>
          <w:szCs w:val="16"/>
        </w:rPr>
      </w:pPr>
      <w:r w:rsidRPr="00930B0B">
        <w:rPr>
          <w:bCs/>
          <w:sz w:val="16"/>
          <w:szCs w:val="16"/>
        </w:rPr>
        <w:t>Obsługa i rozliczanie płatności bezgotówkowych dokonywanych przy użyciu kart płatniczych (w tym kart zbliżeniowych). Rozumie się przez to także przyjmowanie zapłaty przy użyciu instrumentów płatniczych.</w:t>
      </w:r>
    </w:p>
    <w:p w14:paraId="3DD48CE5" w14:textId="77777777" w:rsidR="00A012A7" w:rsidRPr="00930B0B" w:rsidRDefault="00A012A7" w:rsidP="00A012A7">
      <w:pPr>
        <w:numPr>
          <w:ilvl w:val="1"/>
          <w:numId w:val="1"/>
        </w:numPr>
        <w:jc w:val="both"/>
        <w:rPr>
          <w:bCs/>
          <w:sz w:val="16"/>
          <w:szCs w:val="16"/>
        </w:rPr>
      </w:pPr>
      <w:r w:rsidRPr="00930B0B">
        <w:rPr>
          <w:bCs/>
          <w:sz w:val="16"/>
          <w:szCs w:val="16"/>
        </w:rPr>
        <w:t>Integracja z urządzeniami: terminal mobilny BLUERBIRD oraz drukarka BIXOLON.</w:t>
      </w:r>
    </w:p>
    <w:p w14:paraId="1E2E11AC" w14:textId="77777777" w:rsidR="00A012A7" w:rsidRPr="00930B0B" w:rsidRDefault="00A012A7" w:rsidP="00A012A7">
      <w:pPr>
        <w:numPr>
          <w:ilvl w:val="0"/>
          <w:numId w:val="1"/>
        </w:numPr>
        <w:jc w:val="both"/>
        <w:rPr>
          <w:bCs/>
          <w:sz w:val="16"/>
          <w:szCs w:val="16"/>
        </w:rPr>
      </w:pPr>
      <w:r w:rsidRPr="00930B0B">
        <w:rPr>
          <w:bCs/>
          <w:sz w:val="16"/>
          <w:szCs w:val="16"/>
        </w:rPr>
        <w:t xml:space="preserve">Terminale </w:t>
      </w:r>
      <w:r>
        <w:rPr>
          <w:bCs/>
          <w:sz w:val="16"/>
          <w:szCs w:val="16"/>
        </w:rPr>
        <w:t>POS</w:t>
      </w:r>
      <w:r w:rsidRPr="00930B0B">
        <w:rPr>
          <w:bCs/>
          <w:sz w:val="16"/>
          <w:szCs w:val="16"/>
        </w:rPr>
        <w:t xml:space="preserve"> w ilości 2</w:t>
      </w:r>
      <w:r>
        <w:rPr>
          <w:bCs/>
          <w:sz w:val="16"/>
          <w:szCs w:val="16"/>
        </w:rPr>
        <w:t>8</w:t>
      </w:r>
      <w:r w:rsidRPr="00930B0B">
        <w:rPr>
          <w:bCs/>
          <w:sz w:val="16"/>
          <w:szCs w:val="16"/>
        </w:rPr>
        <w:t xml:space="preserve">0 szt. zostaną wynajęte przez Wykonawcę na rzecz Zamawiającego na okres 12 miesięcy od daty podpisania Protokołu Przekazania i Instalacji Terminala POS. Terminale </w:t>
      </w:r>
      <w:r>
        <w:rPr>
          <w:bCs/>
          <w:sz w:val="16"/>
          <w:szCs w:val="16"/>
        </w:rPr>
        <w:t>POS</w:t>
      </w:r>
      <w:r w:rsidRPr="00930B0B">
        <w:rPr>
          <w:bCs/>
          <w:sz w:val="16"/>
          <w:szCs w:val="16"/>
        </w:rPr>
        <w:t>, o których mowa w zdaniu poprzedzającym, zostaną przekazane przez Wykonawcę w</w:t>
      </w:r>
      <w:r>
        <w:rPr>
          <w:bCs/>
          <w:sz w:val="16"/>
          <w:szCs w:val="16"/>
        </w:rPr>
        <w:t> </w:t>
      </w:r>
      <w:r w:rsidRPr="00930B0B">
        <w:rPr>
          <w:bCs/>
          <w:sz w:val="16"/>
          <w:szCs w:val="16"/>
        </w:rPr>
        <w:t xml:space="preserve">terminie 7 dni kalendarzowych od podpisania Umowy. </w:t>
      </w:r>
    </w:p>
    <w:p w14:paraId="6868BD36" w14:textId="77777777" w:rsidR="00A012A7" w:rsidRPr="00930B0B" w:rsidRDefault="00A012A7" w:rsidP="00A012A7">
      <w:pPr>
        <w:numPr>
          <w:ilvl w:val="0"/>
          <w:numId w:val="1"/>
        </w:numPr>
        <w:jc w:val="both"/>
        <w:rPr>
          <w:bCs/>
          <w:sz w:val="16"/>
          <w:szCs w:val="16"/>
        </w:rPr>
      </w:pPr>
      <w:r w:rsidRPr="00930B0B">
        <w:rPr>
          <w:bCs/>
          <w:sz w:val="16"/>
          <w:szCs w:val="16"/>
        </w:rPr>
        <w:t>Wykonawca zapewni codzienną obsługę transakcji dokonywanych przez posiadaczy wszystkich kart płatniczych funkcjonujących w obrocie w</w:t>
      </w:r>
      <w:r>
        <w:rPr>
          <w:bCs/>
          <w:sz w:val="16"/>
          <w:szCs w:val="16"/>
        </w:rPr>
        <w:t> </w:t>
      </w:r>
      <w:r w:rsidRPr="00930B0B">
        <w:rPr>
          <w:bCs/>
          <w:sz w:val="16"/>
          <w:szCs w:val="16"/>
        </w:rPr>
        <w:t xml:space="preserve">Polsce przez cały okres trwania umowy. </w:t>
      </w:r>
    </w:p>
    <w:p w14:paraId="152FB6A2" w14:textId="77777777" w:rsidR="00A012A7" w:rsidRPr="00930B0B" w:rsidRDefault="00A012A7" w:rsidP="00A012A7">
      <w:pPr>
        <w:numPr>
          <w:ilvl w:val="0"/>
          <w:numId w:val="1"/>
        </w:numPr>
        <w:jc w:val="both"/>
        <w:rPr>
          <w:bCs/>
          <w:sz w:val="16"/>
          <w:szCs w:val="16"/>
        </w:rPr>
      </w:pPr>
      <w:r w:rsidRPr="00930B0B">
        <w:rPr>
          <w:bCs/>
          <w:sz w:val="16"/>
          <w:szCs w:val="16"/>
        </w:rPr>
        <w:t xml:space="preserve">W przypadku ujawnienia na rynku dodatkowych kart, innych niż określone w ust. 3, Wykonawca dopuści ich obsługę z zachowaniem tych samych zasad obsługi i rozliczeń, jakie dotyczą karty na dzień podpisania umowy, bez zmian warunków umowy. </w:t>
      </w:r>
    </w:p>
    <w:p w14:paraId="627E1B8C" w14:textId="77777777" w:rsidR="00A012A7" w:rsidRPr="00930B0B" w:rsidRDefault="00A012A7" w:rsidP="00A012A7">
      <w:pPr>
        <w:numPr>
          <w:ilvl w:val="0"/>
          <w:numId w:val="1"/>
        </w:numPr>
        <w:jc w:val="both"/>
        <w:rPr>
          <w:bCs/>
          <w:sz w:val="16"/>
          <w:szCs w:val="16"/>
        </w:rPr>
      </w:pPr>
      <w:r w:rsidRPr="00930B0B">
        <w:rPr>
          <w:bCs/>
          <w:sz w:val="16"/>
          <w:szCs w:val="16"/>
        </w:rPr>
        <w:t>Wymagana jest również obsługa kart płatniczych w technologii zbliżeniowej:</w:t>
      </w:r>
    </w:p>
    <w:p w14:paraId="1AF3BAA1" w14:textId="77777777" w:rsidR="00A012A7" w:rsidRPr="00930B0B" w:rsidRDefault="00A012A7" w:rsidP="00A012A7">
      <w:pPr>
        <w:numPr>
          <w:ilvl w:val="1"/>
          <w:numId w:val="1"/>
        </w:numPr>
        <w:jc w:val="both"/>
        <w:rPr>
          <w:bCs/>
          <w:sz w:val="16"/>
          <w:szCs w:val="16"/>
        </w:rPr>
      </w:pPr>
      <w:r w:rsidRPr="00930B0B">
        <w:rPr>
          <w:bCs/>
          <w:sz w:val="16"/>
          <w:szCs w:val="16"/>
        </w:rPr>
        <w:t>zbliżeniowo kartą;</w:t>
      </w:r>
    </w:p>
    <w:p w14:paraId="134B7421" w14:textId="77777777" w:rsidR="00A012A7" w:rsidRPr="00930B0B" w:rsidRDefault="00A012A7" w:rsidP="00A012A7">
      <w:pPr>
        <w:numPr>
          <w:ilvl w:val="1"/>
          <w:numId w:val="1"/>
        </w:numPr>
        <w:jc w:val="both"/>
        <w:rPr>
          <w:bCs/>
          <w:sz w:val="16"/>
          <w:szCs w:val="16"/>
        </w:rPr>
      </w:pPr>
      <w:r w:rsidRPr="00930B0B">
        <w:rPr>
          <w:bCs/>
          <w:sz w:val="16"/>
          <w:szCs w:val="16"/>
        </w:rPr>
        <w:t>zbliżeniowo telefonem.</w:t>
      </w:r>
    </w:p>
    <w:p w14:paraId="50B2CDF6" w14:textId="77777777" w:rsidR="00A012A7" w:rsidRPr="004675D7" w:rsidRDefault="00A012A7" w:rsidP="00A012A7">
      <w:pPr>
        <w:numPr>
          <w:ilvl w:val="0"/>
          <w:numId w:val="1"/>
        </w:numPr>
        <w:jc w:val="both"/>
        <w:rPr>
          <w:bCs/>
          <w:sz w:val="16"/>
          <w:szCs w:val="16"/>
        </w:rPr>
      </w:pPr>
      <w:r w:rsidRPr="00930B0B">
        <w:rPr>
          <w:bCs/>
          <w:sz w:val="16"/>
          <w:szCs w:val="16"/>
        </w:rPr>
        <w:t xml:space="preserve">Zamawiający określa średni obrót miesięczny na </w:t>
      </w:r>
      <w:r w:rsidRPr="004675D7">
        <w:rPr>
          <w:bCs/>
          <w:sz w:val="16"/>
          <w:szCs w:val="16"/>
        </w:rPr>
        <w:t>ok. 1 250 000,00 zł (słownie: jeden milion dwieście pięćdziesiąt tysięcy złotych).</w:t>
      </w:r>
    </w:p>
    <w:p w14:paraId="76942424" w14:textId="77777777" w:rsidR="00A012A7" w:rsidRPr="00930B0B" w:rsidRDefault="00A012A7" w:rsidP="00A012A7">
      <w:pPr>
        <w:numPr>
          <w:ilvl w:val="0"/>
          <w:numId w:val="1"/>
        </w:numPr>
        <w:jc w:val="both"/>
        <w:rPr>
          <w:bCs/>
          <w:sz w:val="16"/>
          <w:szCs w:val="16"/>
        </w:rPr>
      </w:pPr>
      <w:r w:rsidRPr="00930B0B">
        <w:rPr>
          <w:bCs/>
          <w:sz w:val="16"/>
          <w:szCs w:val="16"/>
        </w:rPr>
        <w:t xml:space="preserve">Wartość określona w ust. 6 jest wielkością szacunkową i nie może stanowić podstawy do wnoszenia przez Wykonawcę jakichkolwiek roszczeń, co do wysokości faktycznie zrealizowanych obrotów poprzez terminale płatnicze. </w:t>
      </w:r>
    </w:p>
    <w:p w14:paraId="2C3B67C0" w14:textId="77777777" w:rsidR="00A012A7" w:rsidRPr="00930B0B" w:rsidRDefault="00A012A7" w:rsidP="00A012A7">
      <w:pPr>
        <w:numPr>
          <w:ilvl w:val="0"/>
          <w:numId w:val="1"/>
        </w:numPr>
        <w:jc w:val="both"/>
        <w:rPr>
          <w:bCs/>
          <w:sz w:val="16"/>
          <w:szCs w:val="16"/>
        </w:rPr>
      </w:pPr>
      <w:r w:rsidRPr="00930B0B">
        <w:rPr>
          <w:bCs/>
          <w:sz w:val="16"/>
          <w:szCs w:val="16"/>
        </w:rPr>
        <w:t>Wykonawca zobowiązuje się do udostępnienia Zamawiającemu dostępu do raportów online. W przypadku braku możliwości przekazania dostępu online, Wykonawca zobowiązuje się do przekazywania Zamawiającemu drogą e-mailową na wskazany adres, raportu obejmującego transakcję wykonywane odrębnie na każdym terminalu, codziennie oraz po zakończeniu miesiąca, jako podsumowanie operacji.</w:t>
      </w:r>
    </w:p>
    <w:p w14:paraId="7E07EF29" w14:textId="77777777" w:rsidR="00A012A7" w:rsidRPr="00930B0B" w:rsidRDefault="00A012A7" w:rsidP="00A012A7">
      <w:pPr>
        <w:numPr>
          <w:ilvl w:val="0"/>
          <w:numId w:val="1"/>
        </w:numPr>
        <w:jc w:val="both"/>
        <w:rPr>
          <w:bCs/>
          <w:sz w:val="16"/>
          <w:szCs w:val="16"/>
        </w:rPr>
      </w:pPr>
      <w:r w:rsidRPr="00930B0B">
        <w:rPr>
          <w:bCs/>
          <w:sz w:val="16"/>
          <w:szCs w:val="16"/>
        </w:rPr>
        <w:t>Wykonawca zobowiązuje się do udostępnienia niezbędnej dokumentacji technicznej w celu przeprowadzenia poprawnej integracji z urządzeniami wskazanymi przez Zamawiającego.</w:t>
      </w:r>
    </w:p>
    <w:p w14:paraId="116F03DD" w14:textId="77777777" w:rsidR="00A012A7" w:rsidRPr="00930B0B" w:rsidRDefault="00A012A7" w:rsidP="00A012A7">
      <w:pPr>
        <w:jc w:val="both"/>
        <w:rPr>
          <w:bCs/>
          <w:sz w:val="16"/>
          <w:szCs w:val="16"/>
        </w:rPr>
      </w:pPr>
      <w:r w:rsidRPr="00930B0B">
        <w:rPr>
          <w:bCs/>
          <w:sz w:val="16"/>
          <w:szCs w:val="16"/>
        </w:rPr>
        <w:t>Obsługa transakcji ma być także możliwa w walucie karty DCC (</w:t>
      </w:r>
      <w:proofErr w:type="spellStart"/>
      <w:r w:rsidRPr="00930B0B">
        <w:rPr>
          <w:bCs/>
          <w:sz w:val="16"/>
          <w:szCs w:val="16"/>
        </w:rPr>
        <w:t>DynamicCurrency</w:t>
      </w:r>
      <w:proofErr w:type="spellEnd"/>
      <w:r w:rsidRPr="00930B0B">
        <w:rPr>
          <w:bCs/>
          <w:sz w:val="16"/>
          <w:szCs w:val="16"/>
        </w:rPr>
        <w:t xml:space="preserve"> Conversion), co umożliwi klientom wybór waluty transakcji przy dokonywaniu płatności, tzn. że klient ma możliwość dokonania zakupu w PLN lub w walucie rachunku karty, którą chce dokonać transakcji.</w:t>
      </w:r>
    </w:p>
    <w:p w14:paraId="6AF3F473" w14:textId="77777777" w:rsidR="00A012A7" w:rsidRPr="00930B0B" w:rsidRDefault="00A012A7" w:rsidP="00A012A7">
      <w:pPr>
        <w:rPr>
          <w:bCs/>
          <w:sz w:val="16"/>
          <w:szCs w:val="16"/>
        </w:rPr>
      </w:pPr>
    </w:p>
    <w:p w14:paraId="2BF5BE57" w14:textId="77777777" w:rsidR="00A012A7" w:rsidRPr="00930B0B" w:rsidRDefault="00A012A7" w:rsidP="00A012A7">
      <w:pPr>
        <w:numPr>
          <w:ilvl w:val="0"/>
          <w:numId w:val="2"/>
        </w:numPr>
        <w:rPr>
          <w:b/>
          <w:bCs/>
          <w:sz w:val="16"/>
          <w:szCs w:val="16"/>
        </w:rPr>
      </w:pPr>
      <w:r w:rsidRPr="00930B0B">
        <w:rPr>
          <w:b/>
          <w:bCs/>
          <w:sz w:val="16"/>
          <w:szCs w:val="16"/>
        </w:rPr>
        <w:t>ROZLICZENIA</w:t>
      </w:r>
    </w:p>
    <w:p w14:paraId="0D93CC13" w14:textId="77777777" w:rsidR="00A012A7" w:rsidRPr="00930B0B" w:rsidRDefault="00A012A7" w:rsidP="00A012A7">
      <w:pPr>
        <w:rPr>
          <w:b/>
          <w:bCs/>
          <w:sz w:val="16"/>
          <w:szCs w:val="16"/>
        </w:rPr>
      </w:pPr>
    </w:p>
    <w:p w14:paraId="7A08BEC7" w14:textId="77777777" w:rsidR="00A012A7" w:rsidRPr="00930B0B" w:rsidRDefault="00A012A7" w:rsidP="00A012A7">
      <w:pPr>
        <w:numPr>
          <w:ilvl w:val="1"/>
          <w:numId w:val="2"/>
        </w:numPr>
        <w:jc w:val="both"/>
        <w:rPr>
          <w:bCs/>
          <w:sz w:val="16"/>
          <w:szCs w:val="16"/>
        </w:rPr>
      </w:pPr>
      <w:r w:rsidRPr="00930B0B">
        <w:rPr>
          <w:bCs/>
          <w:sz w:val="16"/>
          <w:szCs w:val="16"/>
        </w:rPr>
        <w:t>Każdorazowe przekazywanie kwoty uiszczanej przez posiadaczy kart płatniczych bez potrącania prowizji za usługę, w ciągu jednego dnia roboczego od dnia dokonania potwierdzonych transakcji dokonanych przy użyciu kart płatniczych, na wskazany przez Zamawiającego rachunek bankowy, umieszczając na przelewach opisy umożliwiające zidentyfikowanie przez Zamawiającego otrzymanych środków z</w:t>
      </w:r>
      <w:r>
        <w:rPr>
          <w:bCs/>
          <w:sz w:val="16"/>
          <w:szCs w:val="16"/>
        </w:rPr>
        <w:t> </w:t>
      </w:r>
      <w:r w:rsidRPr="00930B0B">
        <w:rPr>
          <w:bCs/>
          <w:sz w:val="16"/>
          <w:szCs w:val="16"/>
        </w:rPr>
        <w:t>przeprowadzonych transakcji. Zamawiający zastrzega sobie możliwość zmiany wskazanego rachunku bankowego na inny, z uwzględnieniem punktu 3.</w:t>
      </w:r>
    </w:p>
    <w:p w14:paraId="3C8BDC3E" w14:textId="77777777" w:rsidR="00A012A7" w:rsidRPr="00930B0B" w:rsidRDefault="00A012A7" w:rsidP="00A012A7">
      <w:pPr>
        <w:numPr>
          <w:ilvl w:val="1"/>
          <w:numId w:val="2"/>
        </w:numPr>
        <w:jc w:val="both"/>
        <w:rPr>
          <w:bCs/>
          <w:sz w:val="16"/>
          <w:szCs w:val="16"/>
        </w:rPr>
      </w:pPr>
      <w:r w:rsidRPr="00930B0B">
        <w:rPr>
          <w:bCs/>
          <w:sz w:val="16"/>
          <w:szCs w:val="16"/>
        </w:rPr>
        <w:t>Za datę przekazania środków uznawać się  będzie datę wpływu środków na rachunek bankowy Zamawiającego.  Przy  ustaleniu  terminów  przekazania  środków  przez Wykonawcę nie bierze się pod uwagę dni ustawowo wolnych od pracy oraz sobót.</w:t>
      </w:r>
    </w:p>
    <w:p w14:paraId="5C8D0B6A" w14:textId="77777777" w:rsidR="00A012A7" w:rsidRPr="00930B0B" w:rsidRDefault="00A012A7" w:rsidP="00A012A7">
      <w:pPr>
        <w:numPr>
          <w:ilvl w:val="1"/>
          <w:numId w:val="2"/>
        </w:numPr>
        <w:jc w:val="both"/>
        <w:rPr>
          <w:bCs/>
          <w:sz w:val="16"/>
          <w:szCs w:val="16"/>
        </w:rPr>
      </w:pPr>
      <w:r w:rsidRPr="00930B0B">
        <w:rPr>
          <w:bCs/>
          <w:sz w:val="16"/>
          <w:szCs w:val="16"/>
        </w:rPr>
        <w:t xml:space="preserve">Terminale </w:t>
      </w:r>
      <w:r>
        <w:rPr>
          <w:bCs/>
          <w:sz w:val="16"/>
          <w:szCs w:val="16"/>
        </w:rPr>
        <w:t>POS</w:t>
      </w:r>
      <w:r w:rsidRPr="00930B0B">
        <w:rPr>
          <w:bCs/>
          <w:sz w:val="16"/>
          <w:szCs w:val="16"/>
        </w:rPr>
        <w:t xml:space="preserve"> mają obsługiwać rachunek bankowy, który zostanie podany w umowie z możliwością zmiany w trakcie trwania umowy. Wykonawca przy ewentualnej zmianie rachunku nieodpłatnie wykona zmianę konfiguracji pracy wszystkich urządzeń.</w:t>
      </w:r>
    </w:p>
    <w:p w14:paraId="29FBD9FF" w14:textId="77777777" w:rsidR="00A012A7" w:rsidRPr="00930B0B" w:rsidRDefault="00A012A7" w:rsidP="00A012A7">
      <w:pPr>
        <w:numPr>
          <w:ilvl w:val="1"/>
          <w:numId w:val="2"/>
        </w:numPr>
        <w:jc w:val="both"/>
        <w:rPr>
          <w:bCs/>
          <w:sz w:val="16"/>
          <w:szCs w:val="16"/>
        </w:rPr>
      </w:pPr>
      <w:r w:rsidRPr="00930B0B">
        <w:rPr>
          <w:bCs/>
          <w:sz w:val="16"/>
          <w:szCs w:val="16"/>
        </w:rPr>
        <w:t>Za obsługę i rozliczenie operacji dokonanych przy użyciu kart płatniczych Wykonawca pobiera prowizję,  liczoną  procentowo  od  wartości podanej w przedstawionych do rozliczenia dowodach sprzedaży.</w:t>
      </w:r>
    </w:p>
    <w:p w14:paraId="3DE6C21C" w14:textId="77777777" w:rsidR="00A012A7" w:rsidRPr="00930B0B" w:rsidRDefault="00A012A7" w:rsidP="00A012A7">
      <w:pPr>
        <w:numPr>
          <w:ilvl w:val="1"/>
          <w:numId w:val="2"/>
        </w:numPr>
        <w:jc w:val="both"/>
        <w:rPr>
          <w:bCs/>
          <w:sz w:val="16"/>
          <w:szCs w:val="16"/>
        </w:rPr>
      </w:pPr>
      <w:r w:rsidRPr="00930B0B">
        <w:rPr>
          <w:bCs/>
          <w:sz w:val="16"/>
          <w:szCs w:val="16"/>
        </w:rPr>
        <w:lastRenderedPageBreak/>
        <w:t xml:space="preserve">Z tytułu  najmu terminali </w:t>
      </w:r>
      <w:r>
        <w:rPr>
          <w:bCs/>
          <w:sz w:val="16"/>
          <w:szCs w:val="16"/>
        </w:rPr>
        <w:t>POS</w:t>
      </w:r>
      <w:r w:rsidRPr="00930B0B">
        <w:rPr>
          <w:bCs/>
          <w:sz w:val="16"/>
          <w:szCs w:val="16"/>
        </w:rPr>
        <w:t>, Zamawiający zobowiązany jest uiszczać miesięczną opłatę poczynając od następnego miesiąca po dacie przekazania i zainstalowania zestawu terminali płatniczych, potwierdzonego Protokołem Przekazania i Instalacji Terminala POS,</w:t>
      </w:r>
      <w:r w:rsidRPr="00930B0B" w:rsidDel="003B3812">
        <w:rPr>
          <w:bCs/>
          <w:sz w:val="16"/>
          <w:szCs w:val="16"/>
        </w:rPr>
        <w:t xml:space="preserve"> </w:t>
      </w:r>
      <w:r w:rsidRPr="00930B0B">
        <w:rPr>
          <w:bCs/>
          <w:sz w:val="16"/>
          <w:szCs w:val="16"/>
        </w:rPr>
        <w:t>podpisanego bez uwag Zamawiającego przez Strony.</w:t>
      </w:r>
    </w:p>
    <w:p w14:paraId="58B18808" w14:textId="77777777" w:rsidR="00A012A7" w:rsidRPr="00930B0B" w:rsidRDefault="00A012A7" w:rsidP="00A012A7">
      <w:pPr>
        <w:numPr>
          <w:ilvl w:val="1"/>
          <w:numId w:val="2"/>
        </w:numPr>
        <w:jc w:val="both"/>
        <w:rPr>
          <w:bCs/>
          <w:sz w:val="16"/>
          <w:szCs w:val="16"/>
        </w:rPr>
      </w:pPr>
      <w:r w:rsidRPr="00930B0B">
        <w:rPr>
          <w:bCs/>
          <w:sz w:val="16"/>
          <w:szCs w:val="16"/>
        </w:rPr>
        <w:t>Miesięczna opłata za utrzymanie danych w systemie wliczona będzie w cenę usługi, o której mowa w punkcie 5.</w:t>
      </w:r>
    </w:p>
    <w:p w14:paraId="2DBC8F45" w14:textId="77777777" w:rsidR="00A012A7" w:rsidRPr="00930B0B" w:rsidRDefault="00A012A7" w:rsidP="00A012A7">
      <w:pPr>
        <w:rPr>
          <w:bCs/>
          <w:sz w:val="16"/>
          <w:szCs w:val="16"/>
        </w:rPr>
      </w:pPr>
    </w:p>
    <w:p w14:paraId="35D12747" w14:textId="77777777" w:rsidR="00A012A7" w:rsidRPr="00A67CE9" w:rsidRDefault="00A012A7" w:rsidP="00A012A7">
      <w:pPr>
        <w:numPr>
          <w:ilvl w:val="0"/>
          <w:numId w:val="2"/>
        </w:numPr>
        <w:rPr>
          <w:b/>
          <w:bCs/>
          <w:sz w:val="16"/>
          <w:szCs w:val="16"/>
        </w:rPr>
      </w:pPr>
      <w:r w:rsidRPr="00930B0B">
        <w:rPr>
          <w:b/>
          <w:bCs/>
          <w:sz w:val="16"/>
          <w:szCs w:val="16"/>
        </w:rPr>
        <w:t>DANE TECHNICZNE TERMINALI</w:t>
      </w:r>
    </w:p>
    <w:p w14:paraId="33DCA722" w14:textId="77777777" w:rsidR="00A012A7" w:rsidRPr="00930B0B" w:rsidRDefault="00A012A7" w:rsidP="00A012A7">
      <w:pPr>
        <w:rPr>
          <w:bCs/>
          <w:sz w:val="16"/>
          <w:szCs w:val="16"/>
        </w:rPr>
      </w:pPr>
      <w:r w:rsidRPr="00930B0B">
        <w:rPr>
          <w:bCs/>
          <w:sz w:val="16"/>
          <w:szCs w:val="16"/>
        </w:rPr>
        <w:t xml:space="preserve">Zamawiający zastrzega sobie prawo do otrzymania urządzeń o parametrach nie niższych niż wskazane poniżej.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7813"/>
      </w:tblGrid>
      <w:tr w:rsidR="00A012A7" w:rsidRPr="00ED3882" w14:paraId="10CAD2B6" w14:textId="77777777" w:rsidTr="00656FCD">
        <w:tc>
          <w:tcPr>
            <w:tcW w:w="1129" w:type="dxa"/>
            <w:shd w:val="clear" w:color="auto" w:fill="auto"/>
            <w:vAlign w:val="center"/>
            <w:hideMark/>
          </w:tcPr>
          <w:p w14:paraId="3304A31C" w14:textId="77777777" w:rsidR="00A012A7" w:rsidRPr="00930B0B" w:rsidRDefault="00A012A7" w:rsidP="00656FCD">
            <w:pPr>
              <w:rPr>
                <w:b/>
                <w:sz w:val="16"/>
                <w:szCs w:val="16"/>
              </w:rPr>
            </w:pPr>
            <w:r w:rsidRPr="00930B0B">
              <w:rPr>
                <w:b/>
                <w:sz w:val="16"/>
                <w:szCs w:val="16"/>
              </w:rPr>
              <w:t>Procesor</w:t>
            </w:r>
          </w:p>
        </w:tc>
        <w:tc>
          <w:tcPr>
            <w:tcW w:w="7813" w:type="dxa"/>
            <w:shd w:val="clear" w:color="auto" w:fill="auto"/>
            <w:vAlign w:val="center"/>
            <w:hideMark/>
          </w:tcPr>
          <w:p w14:paraId="53F24841" w14:textId="77777777" w:rsidR="00A012A7" w:rsidRPr="00930B0B" w:rsidRDefault="00A012A7" w:rsidP="00656FCD">
            <w:pPr>
              <w:rPr>
                <w:sz w:val="16"/>
                <w:szCs w:val="16"/>
              </w:rPr>
            </w:pPr>
            <w:r w:rsidRPr="00930B0B">
              <w:rPr>
                <w:sz w:val="16"/>
                <w:szCs w:val="16"/>
              </w:rPr>
              <w:t>Częstotliwość taktowania 233 MHz – 1GHz</w:t>
            </w:r>
          </w:p>
        </w:tc>
      </w:tr>
      <w:tr w:rsidR="00A012A7" w:rsidRPr="00511BB3" w14:paraId="18DA7E3C" w14:textId="77777777" w:rsidTr="00656FCD">
        <w:tc>
          <w:tcPr>
            <w:tcW w:w="1129" w:type="dxa"/>
            <w:shd w:val="clear" w:color="auto" w:fill="auto"/>
            <w:vAlign w:val="center"/>
            <w:hideMark/>
          </w:tcPr>
          <w:p w14:paraId="50025593" w14:textId="77777777" w:rsidR="00A012A7" w:rsidRPr="00930B0B" w:rsidRDefault="00A012A7" w:rsidP="00656FCD">
            <w:pPr>
              <w:rPr>
                <w:b/>
                <w:sz w:val="16"/>
                <w:szCs w:val="16"/>
              </w:rPr>
            </w:pPr>
            <w:r w:rsidRPr="00930B0B">
              <w:rPr>
                <w:b/>
                <w:sz w:val="16"/>
                <w:szCs w:val="16"/>
              </w:rPr>
              <w:t>Pamięć</w:t>
            </w:r>
          </w:p>
        </w:tc>
        <w:tc>
          <w:tcPr>
            <w:tcW w:w="7813" w:type="dxa"/>
            <w:shd w:val="clear" w:color="auto" w:fill="auto"/>
            <w:vAlign w:val="center"/>
            <w:hideMark/>
          </w:tcPr>
          <w:p w14:paraId="0499D0DB" w14:textId="77777777" w:rsidR="00A012A7" w:rsidRPr="00930B0B" w:rsidRDefault="00A012A7" w:rsidP="00656FCD">
            <w:pPr>
              <w:rPr>
                <w:sz w:val="16"/>
                <w:szCs w:val="16"/>
                <w:lang w:val="en-US"/>
              </w:rPr>
            </w:pPr>
            <w:r w:rsidRPr="00930B0B">
              <w:rPr>
                <w:sz w:val="16"/>
                <w:szCs w:val="16"/>
                <w:lang w:val="en-US"/>
              </w:rPr>
              <w:t>Minimum 128 MB RAM,</w:t>
            </w:r>
          </w:p>
          <w:p w14:paraId="1BEE1CFB" w14:textId="77777777" w:rsidR="00A012A7" w:rsidRPr="00930B0B" w:rsidRDefault="00A012A7" w:rsidP="00656FCD">
            <w:pPr>
              <w:rPr>
                <w:sz w:val="16"/>
                <w:szCs w:val="16"/>
                <w:lang w:val="en-US"/>
              </w:rPr>
            </w:pPr>
            <w:r w:rsidRPr="00930B0B">
              <w:rPr>
                <w:sz w:val="16"/>
                <w:szCs w:val="16"/>
                <w:lang w:val="en-US"/>
              </w:rPr>
              <w:t>Minimum 256 MB Flash</w:t>
            </w:r>
          </w:p>
        </w:tc>
      </w:tr>
      <w:tr w:rsidR="00A012A7" w:rsidRPr="00ED3882" w14:paraId="74634728" w14:textId="77777777" w:rsidTr="00656FCD">
        <w:tc>
          <w:tcPr>
            <w:tcW w:w="1129" w:type="dxa"/>
            <w:shd w:val="clear" w:color="auto" w:fill="auto"/>
            <w:vAlign w:val="center"/>
            <w:hideMark/>
          </w:tcPr>
          <w:p w14:paraId="11298E5B" w14:textId="77777777" w:rsidR="00A012A7" w:rsidRPr="00930B0B" w:rsidRDefault="00A012A7" w:rsidP="00656FCD">
            <w:pPr>
              <w:rPr>
                <w:b/>
                <w:sz w:val="16"/>
                <w:szCs w:val="16"/>
              </w:rPr>
            </w:pPr>
            <w:r w:rsidRPr="00930B0B">
              <w:rPr>
                <w:b/>
                <w:sz w:val="16"/>
                <w:szCs w:val="16"/>
              </w:rPr>
              <w:t>SIM/SAM</w:t>
            </w:r>
          </w:p>
        </w:tc>
        <w:tc>
          <w:tcPr>
            <w:tcW w:w="7813" w:type="dxa"/>
            <w:shd w:val="clear" w:color="auto" w:fill="auto"/>
            <w:vAlign w:val="center"/>
            <w:hideMark/>
          </w:tcPr>
          <w:p w14:paraId="0246E246" w14:textId="77777777" w:rsidR="00A012A7" w:rsidRPr="00930B0B" w:rsidRDefault="00A012A7" w:rsidP="00656FCD">
            <w:pPr>
              <w:rPr>
                <w:sz w:val="16"/>
                <w:szCs w:val="16"/>
              </w:rPr>
            </w:pPr>
            <w:r w:rsidRPr="00930B0B">
              <w:rPr>
                <w:sz w:val="16"/>
                <w:szCs w:val="16"/>
              </w:rPr>
              <w:t>Możliwość obsługi 2 kart</w:t>
            </w:r>
          </w:p>
        </w:tc>
      </w:tr>
      <w:tr w:rsidR="00A012A7" w:rsidRPr="00ED3882" w14:paraId="2DD21AEB" w14:textId="77777777" w:rsidTr="00656FCD">
        <w:trPr>
          <w:trHeight w:val="1016"/>
        </w:trPr>
        <w:tc>
          <w:tcPr>
            <w:tcW w:w="1129" w:type="dxa"/>
            <w:shd w:val="clear" w:color="auto" w:fill="auto"/>
            <w:vAlign w:val="center"/>
            <w:hideMark/>
          </w:tcPr>
          <w:p w14:paraId="1FADBE6D" w14:textId="77777777" w:rsidR="00A012A7" w:rsidRPr="00930B0B" w:rsidRDefault="00A012A7" w:rsidP="00656FCD">
            <w:pPr>
              <w:rPr>
                <w:b/>
                <w:sz w:val="16"/>
                <w:szCs w:val="16"/>
              </w:rPr>
            </w:pPr>
            <w:r w:rsidRPr="00930B0B">
              <w:rPr>
                <w:b/>
                <w:sz w:val="16"/>
                <w:szCs w:val="16"/>
              </w:rPr>
              <w:t>Czytniki kart</w:t>
            </w:r>
          </w:p>
        </w:tc>
        <w:tc>
          <w:tcPr>
            <w:tcW w:w="7813" w:type="dxa"/>
            <w:shd w:val="clear" w:color="auto" w:fill="auto"/>
            <w:vAlign w:val="center"/>
            <w:hideMark/>
          </w:tcPr>
          <w:p w14:paraId="676F0D93" w14:textId="77777777" w:rsidR="00A012A7" w:rsidRPr="00930B0B" w:rsidRDefault="00A012A7" w:rsidP="00656FCD">
            <w:pPr>
              <w:rPr>
                <w:sz w:val="16"/>
                <w:szCs w:val="16"/>
              </w:rPr>
            </w:pPr>
            <w:r w:rsidRPr="00930B0B">
              <w:rPr>
                <w:sz w:val="16"/>
                <w:szCs w:val="16"/>
              </w:rPr>
              <w:t xml:space="preserve">Pasek magnetyczny, ISO 1/2/3, 100K </w:t>
            </w:r>
            <w:proofErr w:type="spellStart"/>
            <w:r w:rsidRPr="00930B0B">
              <w:rPr>
                <w:sz w:val="16"/>
                <w:szCs w:val="16"/>
              </w:rPr>
              <w:t>lifespan</w:t>
            </w:r>
            <w:proofErr w:type="spellEnd"/>
          </w:p>
          <w:p w14:paraId="2A68A02A" w14:textId="77777777" w:rsidR="00A012A7" w:rsidRPr="00930B0B" w:rsidRDefault="00A012A7" w:rsidP="00656FCD">
            <w:pPr>
              <w:rPr>
                <w:sz w:val="16"/>
                <w:szCs w:val="16"/>
              </w:rPr>
            </w:pPr>
            <w:r w:rsidRPr="00930B0B">
              <w:rPr>
                <w:sz w:val="16"/>
                <w:szCs w:val="16"/>
              </w:rPr>
              <w:t xml:space="preserve">Karta inteligentna, EMV Level 1, 500K </w:t>
            </w:r>
            <w:proofErr w:type="spellStart"/>
            <w:r w:rsidRPr="00930B0B">
              <w:rPr>
                <w:sz w:val="16"/>
                <w:szCs w:val="16"/>
              </w:rPr>
              <w:t>lifespan</w:t>
            </w:r>
            <w:proofErr w:type="spellEnd"/>
          </w:p>
          <w:p w14:paraId="0AD523FB" w14:textId="77777777" w:rsidR="00A012A7" w:rsidRPr="00930B0B" w:rsidRDefault="00A012A7" w:rsidP="00656FCD">
            <w:pPr>
              <w:rPr>
                <w:sz w:val="16"/>
                <w:szCs w:val="16"/>
              </w:rPr>
            </w:pPr>
            <w:r w:rsidRPr="00930B0B">
              <w:rPr>
                <w:sz w:val="16"/>
                <w:szCs w:val="16"/>
              </w:rPr>
              <w:t>Bezkontaktowy, EMV / iSO14443</w:t>
            </w:r>
          </w:p>
        </w:tc>
      </w:tr>
      <w:tr w:rsidR="00A012A7" w:rsidRPr="00ED3882" w14:paraId="2F812733" w14:textId="77777777" w:rsidTr="00656FCD">
        <w:tc>
          <w:tcPr>
            <w:tcW w:w="1129" w:type="dxa"/>
            <w:shd w:val="clear" w:color="auto" w:fill="auto"/>
            <w:vAlign w:val="center"/>
            <w:hideMark/>
          </w:tcPr>
          <w:p w14:paraId="705F6ED4" w14:textId="77777777" w:rsidR="00A012A7" w:rsidRPr="00930B0B" w:rsidRDefault="00A012A7" w:rsidP="00656FCD">
            <w:pPr>
              <w:rPr>
                <w:b/>
                <w:sz w:val="16"/>
                <w:szCs w:val="16"/>
              </w:rPr>
            </w:pPr>
            <w:r w:rsidRPr="00930B0B">
              <w:rPr>
                <w:b/>
                <w:sz w:val="16"/>
                <w:szCs w:val="16"/>
              </w:rPr>
              <w:t>Wyświetlacz</w:t>
            </w:r>
          </w:p>
        </w:tc>
        <w:tc>
          <w:tcPr>
            <w:tcW w:w="7813" w:type="dxa"/>
            <w:shd w:val="clear" w:color="auto" w:fill="auto"/>
            <w:vAlign w:val="center"/>
            <w:hideMark/>
          </w:tcPr>
          <w:p w14:paraId="182BA378" w14:textId="77777777" w:rsidR="00A012A7" w:rsidRPr="00930B0B" w:rsidRDefault="00A012A7" w:rsidP="00656FCD">
            <w:pPr>
              <w:rPr>
                <w:sz w:val="16"/>
                <w:szCs w:val="16"/>
              </w:rPr>
            </w:pPr>
            <w:r w:rsidRPr="00930B0B">
              <w:rPr>
                <w:sz w:val="16"/>
                <w:szCs w:val="16"/>
              </w:rPr>
              <w:t>Kolorowy z podświetleniem</w:t>
            </w:r>
          </w:p>
          <w:p w14:paraId="5D2AEE29" w14:textId="77777777" w:rsidR="00A012A7" w:rsidRPr="00930B0B" w:rsidRDefault="00A012A7" w:rsidP="00656FCD">
            <w:pPr>
              <w:rPr>
                <w:sz w:val="16"/>
                <w:szCs w:val="16"/>
              </w:rPr>
            </w:pPr>
            <w:r w:rsidRPr="00930B0B">
              <w:rPr>
                <w:sz w:val="16"/>
                <w:szCs w:val="16"/>
              </w:rPr>
              <w:t>Przekątna ekranu minimum 2.4"</w:t>
            </w:r>
          </w:p>
          <w:p w14:paraId="52FF843E" w14:textId="77777777" w:rsidR="00A012A7" w:rsidRPr="00930B0B" w:rsidRDefault="00A012A7" w:rsidP="00656FCD">
            <w:pPr>
              <w:rPr>
                <w:sz w:val="16"/>
                <w:szCs w:val="16"/>
              </w:rPr>
            </w:pPr>
            <w:r w:rsidRPr="00930B0B">
              <w:rPr>
                <w:sz w:val="16"/>
                <w:szCs w:val="16"/>
              </w:rPr>
              <w:t>Rozdzielczość minimum 240x320 pikseli</w:t>
            </w:r>
          </w:p>
        </w:tc>
      </w:tr>
      <w:tr w:rsidR="00A012A7" w:rsidRPr="00ED3882" w14:paraId="1C686591" w14:textId="77777777" w:rsidTr="00656FCD">
        <w:tc>
          <w:tcPr>
            <w:tcW w:w="1129" w:type="dxa"/>
            <w:shd w:val="clear" w:color="auto" w:fill="auto"/>
            <w:vAlign w:val="center"/>
            <w:hideMark/>
          </w:tcPr>
          <w:p w14:paraId="08C99FDB" w14:textId="77777777" w:rsidR="00A012A7" w:rsidRPr="00930B0B" w:rsidRDefault="00A012A7" w:rsidP="00656FCD">
            <w:pPr>
              <w:rPr>
                <w:b/>
                <w:sz w:val="16"/>
                <w:szCs w:val="16"/>
              </w:rPr>
            </w:pPr>
            <w:r w:rsidRPr="00930B0B">
              <w:rPr>
                <w:b/>
                <w:sz w:val="16"/>
                <w:szCs w:val="16"/>
              </w:rPr>
              <w:t>Klawiatura</w:t>
            </w:r>
          </w:p>
        </w:tc>
        <w:tc>
          <w:tcPr>
            <w:tcW w:w="7813" w:type="dxa"/>
            <w:shd w:val="clear" w:color="auto" w:fill="auto"/>
            <w:vAlign w:val="center"/>
            <w:hideMark/>
          </w:tcPr>
          <w:p w14:paraId="3A063D3F" w14:textId="77777777" w:rsidR="00A012A7" w:rsidRPr="00930B0B" w:rsidRDefault="00A012A7" w:rsidP="00656FCD">
            <w:pPr>
              <w:rPr>
                <w:sz w:val="16"/>
                <w:szCs w:val="16"/>
              </w:rPr>
            </w:pPr>
            <w:r w:rsidRPr="00930B0B">
              <w:rPr>
                <w:sz w:val="16"/>
                <w:szCs w:val="16"/>
              </w:rPr>
              <w:t>20 klawiszy, z podwyższonym oznaczeniem</w:t>
            </w:r>
          </w:p>
        </w:tc>
      </w:tr>
      <w:tr w:rsidR="00A012A7" w:rsidRPr="00ED3882" w14:paraId="299797E9" w14:textId="77777777" w:rsidTr="00656FCD">
        <w:tc>
          <w:tcPr>
            <w:tcW w:w="1129" w:type="dxa"/>
            <w:shd w:val="clear" w:color="auto" w:fill="auto"/>
            <w:vAlign w:val="center"/>
            <w:hideMark/>
          </w:tcPr>
          <w:p w14:paraId="6C0D30AF" w14:textId="77777777" w:rsidR="00A012A7" w:rsidRPr="00930B0B" w:rsidRDefault="00A012A7" w:rsidP="00656FCD">
            <w:pPr>
              <w:rPr>
                <w:b/>
                <w:sz w:val="16"/>
                <w:szCs w:val="16"/>
              </w:rPr>
            </w:pPr>
            <w:r w:rsidRPr="00930B0B">
              <w:rPr>
                <w:b/>
                <w:sz w:val="16"/>
                <w:szCs w:val="16"/>
              </w:rPr>
              <w:t>Audio</w:t>
            </w:r>
          </w:p>
        </w:tc>
        <w:tc>
          <w:tcPr>
            <w:tcW w:w="7813" w:type="dxa"/>
            <w:shd w:val="clear" w:color="auto" w:fill="auto"/>
            <w:vAlign w:val="center"/>
            <w:hideMark/>
          </w:tcPr>
          <w:p w14:paraId="51118E94" w14:textId="77777777" w:rsidR="00A012A7" w:rsidRPr="00930B0B" w:rsidRDefault="00A012A7" w:rsidP="00656FCD">
            <w:pPr>
              <w:rPr>
                <w:sz w:val="16"/>
                <w:szCs w:val="16"/>
              </w:rPr>
            </w:pPr>
            <w:proofErr w:type="spellStart"/>
            <w:r w:rsidRPr="00930B0B">
              <w:rPr>
                <w:sz w:val="16"/>
                <w:szCs w:val="16"/>
              </w:rPr>
              <w:t>Buzzer</w:t>
            </w:r>
            <w:proofErr w:type="spellEnd"/>
          </w:p>
        </w:tc>
      </w:tr>
      <w:tr w:rsidR="00A012A7" w:rsidRPr="00ED3882" w14:paraId="26A56733" w14:textId="77777777" w:rsidTr="00656FCD">
        <w:tc>
          <w:tcPr>
            <w:tcW w:w="1129" w:type="dxa"/>
            <w:shd w:val="clear" w:color="auto" w:fill="auto"/>
            <w:vAlign w:val="center"/>
            <w:hideMark/>
          </w:tcPr>
          <w:p w14:paraId="37AB9ECF" w14:textId="77777777" w:rsidR="00A012A7" w:rsidRPr="00930B0B" w:rsidRDefault="00A012A7" w:rsidP="00656FCD">
            <w:pPr>
              <w:rPr>
                <w:b/>
                <w:sz w:val="16"/>
                <w:szCs w:val="16"/>
              </w:rPr>
            </w:pPr>
            <w:r w:rsidRPr="00930B0B">
              <w:rPr>
                <w:b/>
                <w:sz w:val="16"/>
                <w:szCs w:val="16"/>
              </w:rPr>
              <w:t>Komunikacja</w:t>
            </w:r>
          </w:p>
        </w:tc>
        <w:tc>
          <w:tcPr>
            <w:tcW w:w="7813" w:type="dxa"/>
            <w:shd w:val="clear" w:color="auto" w:fill="auto"/>
            <w:vAlign w:val="center"/>
            <w:hideMark/>
          </w:tcPr>
          <w:p w14:paraId="4DF84AE2" w14:textId="77777777" w:rsidR="00A012A7" w:rsidRPr="00930B0B" w:rsidRDefault="00A012A7" w:rsidP="00656FCD">
            <w:pPr>
              <w:rPr>
                <w:sz w:val="16"/>
                <w:szCs w:val="16"/>
              </w:rPr>
            </w:pPr>
            <w:r w:rsidRPr="00930B0B">
              <w:rPr>
                <w:sz w:val="16"/>
                <w:szCs w:val="16"/>
              </w:rPr>
              <w:t>LAN</w:t>
            </w:r>
          </w:p>
          <w:p w14:paraId="495D9838" w14:textId="77777777" w:rsidR="00A012A7" w:rsidRPr="00930B0B" w:rsidRDefault="00A012A7" w:rsidP="00656FCD">
            <w:pPr>
              <w:rPr>
                <w:sz w:val="16"/>
                <w:szCs w:val="16"/>
              </w:rPr>
            </w:pPr>
            <w:r w:rsidRPr="00930B0B">
              <w:rPr>
                <w:sz w:val="16"/>
                <w:szCs w:val="16"/>
              </w:rPr>
              <w:t xml:space="preserve">Bluetooth </w:t>
            </w:r>
            <w:proofErr w:type="spellStart"/>
            <w:r w:rsidRPr="00930B0B">
              <w:rPr>
                <w:sz w:val="16"/>
                <w:szCs w:val="16"/>
              </w:rPr>
              <w:t>class</w:t>
            </w:r>
            <w:proofErr w:type="spellEnd"/>
            <w:r w:rsidRPr="00930B0B">
              <w:rPr>
                <w:sz w:val="16"/>
                <w:szCs w:val="16"/>
              </w:rPr>
              <w:t xml:space="preserve"> II</w:t>
            </w:r>
          </w:p>
        </w:tc>
      </w:tr>
      <w:tr w:rsidR="00A012A7" w:rsidRPr="00ED3882" w14:paraId="64DB99F7" w14:textId="77777777" w:rsidTr="00656FCD">
        <w:tc>
          <w:tcPr>
            <w:tcW w:w="1129" w:type="dxa"/>
            <w:shd w:val="clear" w:color="auto" w:fill="auto"/>
            <w:vAlign w:val="center"/>
            <w:hideMark/>
          </w:tcPr>
          <w:p w14:paraId="3274D49D" w14:textId="77777777" w:rsidR="00A012A7" w:rsidRPr="00930B0B" w:rsidRDefault="00A012A7" w:rsidP="00656FCD">
            <w:pPr>
              <w:rPr>
                <w:b/>
                <w:sz w:val="16"/>
                <w:szCs w:val="16"/>
              </w:rPr>
            </w:pPr>
            <w:r w:rsidRPr="00930B0B">
              <w:rPr>
                <w:b/>
                <w:sz w:val="16"/>
                <w:szCs w:val="16"/>
              </w:rPr>
              <w:t>Złącza</w:t>
            </w:r>
          </w:p>
        </w:tc>
        <w:tc>
          <w:tcPr>
            <w:tcW w:w="7813" w:type="dxa"/>
            <w:shd w:val="clear" w:color="auto" w:fill="auto"/>
            <w:vAlign w:val="center"/>
            <w:hideMark/>
          </w:tcPr>
          <w:p w14:paraId="470D50A5" w14:textId="77777777" w:rsidR="00A012A7" w:rsidRPr="00930B0B" w:rsidRDefault="00A012A7" w:rsidP="00656FCD">
            <w:pPr>
              <w:rPr>
                <w:sz w:val="16"/>
                <w:szCs w:val="16"/>
              </w:rPr>
            </w:pPr>
            <w:r w:rsidRPr="00930B0B">
              <w:rPr>
                <w:sz w:val="16"/>
                <w:szCs w:val="16"/>
              </w:rPr>
              <w:t>USB typ C</w:t>
            </w:r>
          </w:p>
        </w:tc>
      </w:tr>
      <w:tr w:rsidR="00A012A7" w:rsidRPr="00ED3882" w14:paraId="1436A3F2" w14:textId="77777777" w:rsidTr="00656FCD">
        <w:tc>
          <w:tcPr>
            <w:tcW w:w="1129" w:type="dxa"/>
            <w:shd w:val="clear" w:color="auto" w:fill="auto"/>
            <w:vAlign w:val="center"/>
            <w:hideMark/>
          </w:tcPr>
          <w:p w14:paraId="57AE7245" w14:textId="77777777" w:rsidR="00A012A7" w:rsidRPr="00930B0B" w:rsidRDefault="00A012A7" w:rsidP="00656FCD">
            <w:pPr>
              <w:rPr>
                <w:b/>
                <w:sz w:val="16"/>
                <w:szCs w:val="16"/>
              </w:rPr>
            </w:pPr>
            <w:r w:rsidRPr="00930B0B">
              <w:rPr>
                <w:b/>
                <w:sz w:val="16"/>
                <w:szCs w:val="16"/>
              </w:rPr>
              <w:t>Bateria</w:t>
            </w:r>
          </w:p>
        </w:tc>
        <w:tc>
          <w:tcPr>
            <w:tcW w:w="7813" w:type="dxa"/>
            <w:shd w:val="clear" w:color="auto" w:fill="auto"/>
            <w:vAlign w:val="center"/>
            <w:hideMark/>
          </w:tcPr>
          <w:p w14:paraId="5A629D3A" w14:textId="77777777" w:rsidR="00A012A7" w:rsidRPr="00930B0B" w:rsidRDefault="00A012A7" w:rsidP="00656FCD">
            <w:pPr>
              <w:rPr>
                <w:sz w:val="16"/>
                <w:szCs w:val="16"/>
              </w:rPr>
            </w:pPr>
            <w:r w:rsidRPr="00930B0B">
              <w:rPr>
                <w:sz w:val="16"/>
                <w:szCs w:val="16"/>
              </w:rPr>
              <w:t>Wykonana w technologii Li-</w:t>
            </w:r>
            <w:proofErr w:type="spellStart"/>
            <w:r w:rsidRPr="00930B0B">
              <w:rPr>
                <w:sz w:val="16"/>
                <w:szCs w:val="16"/>
              </w:rPr>
              <w:t>ion</w:t>
            </w:r>
            <w:proofErr w:type="spellEnd"/>
            <w:r w:rsidRPr="00930B0B">
              <w:rPr>
                <w:sz w:val="16"/>
                <w:szCs w:val="16"/>
              </w:rPr>
              <w:t>, o pojemności minimum 1200mAh</w:t>
            </w:r>
          </w:p>
        </w:tc>
      </w:tr>
      <w:tr w:rsidR="00A012A7" w:rsidRPr="00ED3882" w14:paraId="75A2328A" w14:textId="77777777" w:rsidTr="00656FCD">
        <w:tc>
          <w:tcPr>
            <w:tcW w:w="1129" w:type="dxa"/>
            <w:shd w:val="clear" w:color="auto" w:fill="auto"/>
            <w:vAlign w:val="center"/>
            <w:hideMark/>
          </w:tcPr>
          <w:p w14:paraId="0F3C47A5" w14:textId="77777777" w:rsidR="00A012A7" w:rsidRPr="00930B0B" w:rsidRDefault="00A012A7" w:rsidP="00656FCD">
            <w:pPr>
              <w:rPr>
                <w:b/>
                <w:sz w:val="16"/>
                <w:szCs w:val="16"/>
              </w:rPr>
            </w:pPr>
            <w:r w:rsidRPr="00930B0B">
              <w:rPr>
                <w:b/>
                <w:sz w:val="16"/>
                <w:szCs w:val="16"/>
              </w:rPr>
              <w:t>Wymiary</w:t>
            </w:r>
          </w:p>
        </w:tc>
        <w:tc>
          <w:tcPr>
            <w:tcW w:w="7813" w:type="dxa"/>
            <w:shd w:val="clear" w:color="auto" w:fill="auto"/>
            <w:vAlign w:val="center"/>
            <w:hideMark/>
          </w:tcPr>
          <w:p w14:paraId="1695386C" w14:textId="77777777" w:rsidR="00A012A7" w:rsidRPr="00930B0B" w:rsidRDefault="00A012A7" w:rsidP="00656FCD">
            <w:pPr>
              <w:rPr>
                <w:sz w:val="16"/>
                <w:szCs w:val="16"/>
              </w:rPr>
            </w:pPr>
            <w:r w:rsidRPr="00930B0B">
              <w:rPr>
                <w:sz w:val="16"/>
                <w:szCs w:val="16"/>
              </w:rPr>
              <w:t>Dopuszczalne maksymalne wymiary urządzenia D x S x W (130x70x20 mm)</w:t>
            </w:r>
          </w:p>
        </w:tc>
      </w:tr>
      <w:tr w:rsidR="00A012A7" w:rsidRPr="00511BB3" w14:paraId="64BD4AEC" w14:textId="77777777" w:rsidTr="00656FCD">
        <w:tc>
          <w:tcPr>
            <w:tcW w:w="1129" w:type="dxa"/>
            <w:shd w:val="clear" w:color="auto" w:fill="auto"/>
            <w:vAlign w:val="center"/>
            <w:hideMark/>
          </w:tcPr>
          <w:p w14:paraId="6A79D7E2" w14:textId="77777777" w:rsidR="00A012A7" w:rsidRPr="00930B0B" w:rsidRDefault="00A012A7" w:rsidP="00656FCD">
            <w:pPr>
              <w:rPr>
                <w:b/>
                <w:sz w:val="16"/>
                <w:szCs w:val="16"/>
              </w:rPr>
            </w:pPr>
            <w:r w:rsidRPr="00930B0B">
              <w:rPr>
                <w:b/>
                <w:sz w:val="16"/>
                <w:szCs w:val="16"/>
              </w:rPr>
              <w:t>Akcesoria</w:t>
            </w:r>
          </w:p>
        </w:tc>
        <w:tc>
          <w:tcPr>
            <w:tcW w:w="7813" w:type="dxa"/>
            <w:shd w:val="clear" w:color="auto" w:fill="auto"/>
            <w:vAlign w:val="center"/>
            <w:hideMark/>
          </w:tcPr>
          <w:p w14:paraId="5F5BEDC3" w14:textId="77777777" w:rsidR="00A012A7" w:rsidRPr="00930B0B" w:rsidRDefault="00A012A7" w:rsidP="00656FCD">
            <w:pPr>
              <w:rPr>
                <w:sz w:val="16"/>
                <w:szCs w:val="16"/>
                <w:lang w:val="en-US"/>
              </w:rPr>
            </w:pPr>
            <w:r w:rsidRPr="00930B0B">
              <w:rPr>
                <w:sz w:val="16"/>
                <w:szCs w:val="16"/>
                <w:lang w:val="en-US"/>
              </w:rPr>
              <w:t>Kabel USB A / USB C: 1,5 m</w:t>
            </w:r>
          </w:p>
        </w:tc>
      </w:tr>
      <w:tr w:rsidR="00A012A7" w:rsidRPr="00511BB3" w14:paraId="1FB7AA8E" w14:textId="77777777" w:rsidTr="00656FCD">
        <w:tc>
          <w:tcPr>
            <w:tcW w:w="1129" w:type="dxa"/>
            <w:shd w:val="clear" w:color="auto" w:fill="auto"/>
            <w:vAlign w:val="center"/>
            <w:hideMark/>
          </w:tcPr>
          <w:p w14:paraId="4CF02DF4" w14:textId="77777777" w:rsidR="00A012A7" w:rsidRPr="00930B0B" w:rsidRDefault="00A012A7" w:rsidP="00656FCD">
            <w:pPr>
              <w:rPr>
                <w:b/>
                <w:sz w:val="16"/>
                <w:szCs w:val="16"/>
              </w:rPr>
            </w:pPr>
            <w:r w:rsidRPr="00930B0B">
              <w:rPr>
                <w:b/>
                <w:sz w:val="16"/>
                <w:szCs w:val="16"/>
              </w:rPr>
              <w:t>Zabezpieczenia</w:t>
            </w:r>
          </w:p>
        </w:tc>
        <w:tc>
          <w:tcPr>
            <w:tcW w:w="7813" w:type="dxa"/>
            <w:shd w:val="clear" w:color="auto" w:fill="auto"/>
            <w:vAlign w:val="center"/>
            <w:hideMark/>
          </w:tcPr>
          <w:p w14:paraId="351FCAE6" w14:textId="77777777" w:rsidR="00A012A7" w:rsidRPr="00930B0B" w:rsidRDefault="00A012A7" w:rsidP="00656FCD">
            <w:pPr>
              <w:rPr>
                <w:sz w:val="16"/>
                <w:szCs w:val="16"/>
                <w:lang w:val="en-US"/>
              </w:rPr>
            </w:pPr>
            <w:proofErr w:type="spellStart"/>
            <w:r w:rsidRPr="00930B0B">
              <w:rPr>
                <w:sz w:val="16"/>
                <w:szCs w:val="16"/>
                <w:lang w:val="en-US"/>
              </w:rPr>
              <w:t>Certyfikat</w:t>
            </w:r>
            <w:proofErr w:type="spellEnd"/>
            <w:r w:rsidRPr="00930B0B">
              <w:rPr>
                <w:sz w:val="16"/>
                <w:szCs w:val="16"/>
                <w:lang w:val="en-US"/>
              </w:rPr>
              <w:t xml:space="preserve"> PCI PTS 5.x online i offline</w:t>
            </w:r>
          </w:p>
        </w:tc>
      </w:tr>
    </w:tbl>
    <w:p w14:paraId="59682913" w14:textId="77777777" w:rsidR="00A012A7" w:rsidRPr="00930B0B" w:rsidRDefault="00A012A7" w:rsidP="00A012A7">
      <w:pPr>
        <w:rPr>
          <w:bCs/>
          <w:sz w:val="16"/>
          <w:szCs w:val="16"/>
          <w:lang w:val="en-US"/>
        </w:rPr>
      </w:pPr>
    </w:p>
    <w:p w14:paraId="0BFCACA6" w14:textId="77777777" w:rsidR="00A012A7" w:rsidRPr="00930B0B" w:rsidRDefault="00A012A7" w:rsidP="00A012A7">
      <w:pPr>
        <w:numPr>
          <w:ilvl w:val="0"/>
          <w:numId w:val="2"/>
        </w:numPr>
        <w:rPr>
          <w:b/>
          <w:bCs/>
          <w:sz w:val="16"/>
          <w:szCs w:val="16"/>
        </w:rPr>
      </w:pPr>
      <w:r w:rsidRPr="00930B0B">
        <w:rPr>
          <w:b/>
          <w:bCs/>
          <w:sz w:val="16"/>
          <w:szCs w:val="16"/>
        </w:rPr>
        <w:t>WYMAGANE DOKUMENTY</w:t>
      </w:r>
    </w:p>
    <w:p w14:paraId="7778219C" w14:textId="77777777" w:rsidR="00A012A7" w:rsidRPr="00930B0B" w:rsidRDefault="00A012A7" w:rsidP="00A012A7">
      <w:pPr>
        <w:rPr>
          <w:b/>
          <w:bCs/>
          <w:sz w:val="16"/>
          <w:szCs w:val="16"/>
        </w:rPr>
      </w:pPr>
    </w:p>
    <w:p w14:paraId="56AE5E8C" w14:textId="77777777" w:rsidR="00A012A7" w:rsidRPr="00930B0B" w:rsidRDefault="00A012A7" w:rsidP="00A012A7">
      <w:pPr>
        <w:numPr>
          <w:ilvl w:val="0"/>
          <w:numId w:val="3"/>
        </w:numPr>
        <w:jc w:val="both"/>
        <w:rPr>
          <w:bCs/>
          <w:sz w:val="16"/>
          <w:szCs w:val="16"/>
        </w:rPr>
      </w:pPr>
      <w:r w:rsidRPr="00930B0B">
        <w:rPr>
          <w:bCs/>
          <w:sz w:val="16"/>
          <w:szCs w:val="16"/>
        </w:rPr>
        <w:t>Wykonawca – najpóźniej do dnia podpisania umowy – zobowiązany jest do złożenia Zamawiającemu:</w:t>
      </w:r>
    </w:p>
    <w:p w14:paraId="7A6E0AE1" w14:textId="77777777" w:rsidR="00A012A7" w:rsidRPr="00930B0B" w:rsidRDefault="00A012A7" w:rsidP="00A012A7">
      <w:pPr>
        <w:numPr>
          <w:ilvl w:val="1"/>
          <w:numId w:val="3"/>
        </w:numPr>
        <w:jc w:val="both"/>
        <w:rPr>
          <w:bCs/>
          <w:sz w:val="16"/>
          <w:szCs w:val="16"/>
        </w:rPr>
      </w:pPr>
      <w:r w:rsidRPr="00930B0B">
        <w:rPr>
          <w:bCs/>
          <w:sz w:val="16"/>
          <w:szCs w:val="16"/>
        </w:rPr>
        <w:t>Dokumentów określających procedury obsługi kart i bezpieczeństwa obrotu kartowego;</w:t>
      </w:r>
    </w:p>
    <w:p w14:paraId="6AA45AC3" w14:textId="77777777" w:rsidR="00A012A7" w:rsidRPr="00930B0B" w:rsidRDefault="00A012A7" w:rsidP="00A012A7">
      <w:pPr>
        <w:numPr>
          <w:ilvl w:val="1"/>
          <w:numId w:val="3"/>
        </w:numPr>
        <w:jc w:val="both"/>
        <w:rPr>
          <w:bCs/>
          <w:sz w:val="16"/>
          <w:szCs w:val="16"/>
        </w:rPr>
      </w:pPr>
      <w:r w:rsidRPr="00930B0B">
        <w:rPr>
          <w:bCs/>
          <w:sz w:val="16"/>
          <w:szCs w:val="16"/>
        </w:rPr>
        <w:t xml:space="preserve">Dokumentów określających szczegółowe warunki używania terminali </w:t>
      </w:r>
      <w:r>
        <w:rPr>
          <w:bCs/>
          <w:sz w:val="16"/>
          <w:szCs w:val="16"/>
        </w:rPr>
        <w:t>POS</w:t>
      </w:r>
      <w:r w:rsidRPr="00930B0B">
        <w:rPr>
          <w:bCs/>
          <w:sz w:val="16"/>
          <w:szCs w:val="16"/>
        </w:rPr>
        <w:t>;</w:t>
      </w:r>
    </w:p>
    <w:p w14:paraId="3E3AE2F3" w14:textId="77777777" w:rsidR="00A012A7" w:rsidRPr="00930B0B" w:rsidRDefault="00A012A7" w:rsidP="00A012A7">
      <w:pPr>
        <w:numPr>
          <w:ilvl w:val="1"/>
          <w:numId w:val="3"/>
        </w:numPr>
        <w:jc w:val="both"/>
        <w:rPr>
          <w:bCs/>
          <w:sz w:val="16"/>
          <w:szCs w:val="16"/>
        </w:rPr>
      </w:pPr>
      <w:r w:rsidRPr="00930B0B">
        <w:rPr>
          <w:bCs/>
          <w:sz w:val="16"/>
          <w:szCs w:val="16"/>
        </w:rPr>
        <w:t>Dokumentów określających zasady bezpieczeństwa i ochrony danych posiadaczy kart;</w:t>
      </w:r>
    </w:p>
    <w:p w14:paraId="742164A2" w14:textId="77777777" w:rsidR="00A012A7" w:rsidRPr="00930B0B" w:rsidRDefault="00A012A7" w:rsidP="00A012A7">
      <w:pPr>
        <w:numPr>
          <w:ilvl w:val="1"/>
          <w:numId w:val="3"/>
        </w:numPr>
        <w:jc w:val="both"/>
        <w:rPr>
          <w:bCs/>
          <w:sz w:val="16"/>
          <w:szCs w:val="16"/>
        </w:rPr>
      </w:pPr>
      <w:r w:rsidRPr="00930B0B">
        <w:rPr>
          <w:bCs/>
          <w:sz w:val="16"/>
          <w:szCs w:val="16"/>
        </w:rPr>
        <w:t>Dokumentów określających sposób obsługi transakcji opłacanych kart płatniczych,</w:t>
      </w:r>
    </w:p>
    <w:p w14:paraId="401E8B52" w14:textId="77777777" w:rsidR="00A012A7" w:rsidRPr="00930B0B" w:rsidRDefault="00A012A7" w:rsidP="00A012A7">
      <w:pPr>
        <w:jc w:val="both"/>
        <w:rPr>
          <w:bCs/>
          <w:sz w:val="16"/>
          <w:szCs w:val="16"/>
        </w:rPr>
      </w:pPr>
      <w:r w:rsidRPr="00930B0B">
        <w:rPr>
          <w:bCs/>
          <w:sz w:val="16"/>
          <w:szCs w:val="16"/>
        </w:rPr>
        <w:t xml:space="preserve">w  ilości  minimum  równej  ilości terminali </w:t>
      </w:r>
      <w:r>
        <w:rPr>
          <w:bCs/>
          <w:sz w:val="16"/>
          <w:szCs w:val="16"/>
        </w:rPr>
        <w:t>POS</w:t>
      </w:r>
      <w:r w:rsidRPr="00930B0B">
        <w:rPr>
          <w:bCs/>
          <w:sz w:val="16"/>
          <w:szCs w:val="16"/>
        </w:rPr>
        <w:t xml:space="preserve"> (wszystkie instrukcje w języku polskim,  koszt  instrukcji  wliczony  jest  w  cenę usługi).</w:t>
      </w:r>
    </w:p>
    <w:p w14:paraId="6ED394FD" w14:textId="77777777" w:rsidR="00A012A7" w:rsidRPr="00930B0B" w:rsidRDefault="00A012A7" w:rsidP="00A012A7">
      <w:pPr>
        <w:numPr>
          <w:ilvl w:val="0"/>
          <w:numId w:val="3"/>
        </w:numPr>
        <w:jc w:val="both"/>
        <w:rPr>
          <w:bCs/>
          <w:sz w:val="16"/>
          <w:szCs w:val="16"/>
        </w:rPr>
      </w:pPr>
      <w:r w:rsidRPr="00930B0B">
        <w:rPr>
          <w:bCs/>
          <w:sz w:val="16"/>
          <w:szCs w:val="16"/>
        </w:rPr>
        <w:t>Wykonawca zobowiązuje się przekazać Zamawiającemu, najpóźniej w terminie 7 dni roboczych od dnia podpisania umowy, szczegółową procedurę postępowania i wzajemnego informowania w przypadku podejrzenia lub wykrycia przestępstw dokonanych za pośrednictwem kart płatniczych.</w:t>
      </w:r>
    </w:p>
    <w:p w14:paraId="4607A3B3" w14:textId="77777777" w:rsidR="00A012A7" w:rsidRPr="00930B0B" w:rsidRDefault="00A012A7" w:rsidP="00A012A7">
      <w:pPr>
        <w:rPr>
          <w:bCs/>
          <w:sz w:val="16"/>
          <w:szCs w:val="16"/>
        </w:rPr>
      </w:pPr>
    </w:p>
    <w:p w14:paraId="2E1FD22F" w14:textId="77777777" w:rsidR="00A012A7" w:rsidRPr="00A67CE9" w:rsidRDefault="00A012A7" w:rsidP="00A012A7">
      <w:pPr>
        <w:numPr>
          <w:ilvl w:val="0"/>
          <w:numId w:val="2"/>
        </w:numPr>
        <w:rPr>
          <w:b/>
          <w:bCs/>
          <w:sz w:val="16"/>
          <w:szCs w:val="16"/>
        </w:rPr>
      </w:pPr>
      <w:r w:rsidRPr="00930B0B">
        <w:rPr>
          <w:b/>
          <w:bCs/>
          <w:sz w:val="16"/>
          <w:szCs w:val="16"/>
        </w:rPr>
        <w:t>SZKOLENIA i AUTORYZACJA</w:t>
      </w:r>
    </w:p>
    <w:p w14:paraId="15CF2BD8" w14:textId="77777777" w:rsidR="00A012A7" w:rsidRPr="00930B0B" w:rsidRDefault="00A012A7" w:rsidP="00A012A7">
      <w:pPr>
        <w:jc w:val="both"/>
        <w:rPr>
          <w:bCs/>
          <w:sz w:val="16"/>
          <w:szCs w:val="16"/>
        </w:rPr>
      </w:pPr>
      <w:r w:rsidRPr="00930B0B">
        <w:rPr>
          <w:bCs/>
          <w:sz w:val="16"/>
          <w:szCs w:val="16"/>
        </w:rPr>
        <w:t>W ramach wynagrodzenia z tytułu realizacji Umowy Wykonawca:</w:t>
      </w:r>
    </w:p>
    <w:p w14:paraId="47D1BDFB" w14:textId="77777777" w:rsidR="00A012A7" w:rsidRPr="00930B0B" w:rsidRDefault="00A012A7" w:rsidP="00A012A7">
      <w:pPr>
        <w:numPr>
          <w:ilvl w:val="0"/>
          <w:numId w:val="4"/>
        </w:numPr>
        <w:jc w:val="both"/>
        <w:rPr>
          <w:bCs/>
          <w:sz w:val="16"/>
          <w:szCs w:val="16"/>
        </w:rPr>
      </w:pPr>
      <w:r>
        <w:rPr>
          <w:bCs/>
          <w:sz w:val="16"/>
          <w:szCs w:val="16"/>
        </w:rPr>
        <w:t>w</w:t>
      </w:r>
      <w:r w:rsidRPr="00930B0B">
        <w:rPr>
          <w:bCs/>
          <w:sz w:val="16"/>
          <w:szCs w:val="16"/>
        </w:rPr>
        <w:t xml:space="preserve"> dniu instalacji Terminali POS, potwierdzonej sporządzonym bez uwag Protokołem Przekazania i Instalacji Terminala POS</w:t>
      </w:r>
      <w:r>
        <w:rPr>
          <w:bCs/>
          <w:sz w:val="16"/>
          <w:szCs w:val="16"/>
        </w:rPr>
        <w:t>,</w:t>
      </w:r>
      <w:r w:rsidRPr="00930B0B">
        <w:rPr>
          <w:bCs/>
          <w:sz w:val="16"/>
          <w:szCs w:val="16"/>
        </w:rPr>
        <w:t xml:space="preserve"> przeprowadzi szkolenie maksymalnie 10 pracowników wskazanych przez Zamawiającego w zakresie obsługi samoobsługowego terminala płatniczego w</w:t>
      </w:r>
      <w:r>
        <w:rPr>
          <w:bCs/>
          <w:sz w:val="16"/>
          <w:szCs w:val="16"/>
        </w:rPr>
        <w:t> </w:t>
      </w:r>
      <w:r w:rsidRPr="00930B0B">
        <w:rPr>
          <w:bCs/>
          <w:sz w:val="16"/>
          <w:szCs w:val="16"/>
        </w:rPr>
        <w:t xml:space="preserve">siedzibie Zamawiającego – szkolenie musi zostać przeprowadzone i zakończone przed eksploatacyjnym uruchomieniem urządzenia. </w:t>
      </w:r>
    </w:p>
    <w:p w14:paraId="54722F15" w14:textId="77777777" w:rsidR="00A012A7" w:rsidRPr="00930B0B" w:rsidRDefault="00A012A7" w:rsidP="00A012A7">
      <w:pPr>
        <w:numPr>
          <w:ilvl w:val="0"/>
          <w:numId w:val="4"/>
        </w:numPr>
        <w:jc w:val="both"/>
        <w:rPr>
          <w:bCs/>
          <w:sz w:val="16"/>
          <w:szCs w:val="16"/>
        </w:rPr>
      </w:pPr>
      <w:r>
        <w:rPr>
          <w:bCs/>
          <w:sz w:val="16"/>
          <w:szCs w:val="16"/>
        </w:rPr>
        <w:t>z</w:t>
      </w:r>
      <w:r w:rsidRPr="00930B0B">
        <w:rPr>
          <w:bCs/>
          <w:sz w:val="16"/>
          <w:szCs w:val="16"/>
        </w:rPr>
        <w:t>apewni całodobową autoryzację kart płatniczych.</w:t>
      </w:r>
    </w:p>
    <w:p w14:paraId="3B851DDC" w14:textId="77777777" w:rsidR="00A012A7" w:rsidRPr="00930B0B" w:rsidRDefault="00A012A7" w:rsidP="00A012A7">
      <w:pPr>
        <w:rPr>
          <w:bCs/>
          <w:sz w:val="16"/>
          <w:szCs w:val="16"/>
        </w:rPr>
      </w:pPr>
    </w:p>
    <w:p w14:paraId="7CD7439B" w14:textId="77777777" w:rsidR="00A012A7" w:rsidRPr="00930B0B" w:rsidRDefault="00A012A7" w:rsidP="00A012A7">
      <w:pPr>
        <w:numPr>
          <w:ilvl w:val="0"/>
          <w:numId w:val="2"/>
        </w:numPr>
        <w:rPr>
          <w:b/>
          <w:bCs/>
          <w:sz w:val="16"/>
          <w:szCs w:val="16"/>
        </w:rPr>
      </w:pPr>
      <w:r w:rsidRPr="00930B0B">
        <w:rPr>
          <w:b/>
          <w:bCs/>
          <w:sz w:val="16"/>
          <w:szCs w:val="16"/>
        </w:rPr>
        <w:t>SERWIS URZĄDZEŃ</w:t>
      </w:r>
    </w:p>
    <w:p w14:paraId="69498479" w14:textId="77777777" w:rsidR="00A012A7" w:rsidRPr="00930B0B" w:rsidRDefault="00A012A7" w:rsidP="00A012A7">
      <w:pPr>
        <w:jc w:val="both"/>
        <w:rPr>
          <w:bCs/>
          <w:sz w:val="16"/>
          <w:szCs w:val="16"/>
        </w:rPr>
      </w:pPr>
      <w:r w:rsidRPr="00930B0B">
        <w:rPr>
          <w:bCs/>
          <w:sz w:val="16"/>
          <w:szCs w:val="16"/>
        </w:rPr>
        <w:t>W ramach serwisu eksploatacyjnego terminali płatniczych Wykonawca:</w:t>
      </w:r>
    </w:p>
    <w:p w14:paraId="446BF6D7" w14:textId="77777777" w:rsidR="00A012A7" w:rsidRPr="00930B0B" w:rsidRDefault="00A012A7" w:rsidP="00A012A7">
      <w:pPr>
        <w:numPr>
          <w:ilvl w:val="0"/>
          <w:numId w:val="5"/>
        </w:numPr>
        <w:jc w:val="both"/>
        <w:rPr>
          <w:bCs/>
          <w:sz w:val="16"/>
          <w:szCs w:val="16"/>
        </w:rPr>
      </w:pPr>
      <w:r>
        <w:rPr>
          <w:bCs/>
          <w:sz w:val="16"/>
          <w:szCs w:val="16"/>
        </w:rPr>
        <w:t>u</w:t>
      </w:r>
      <w:r w:rsidRPr="00930B0B">
        <w:rPr>
          <w:bCs/>
          <w:sz w:val="16"/>
          <w:szCs w:val="16"/>
        </w:rPr>
        <w:t>sunie awarie w ciągu 48 godzin licząc od momentu zgłoszenia awarii przez Zamawiającego. Awarie zgłaszane będą za pośrednictwem adresu e-mail wskazanego przez Wykonawcę.</w:t>
      </w:r>
    </w:p>
    <w:p w14:paraId="7CE96A9F" w14:textId="77777777" w:rsidR="00A012A7" w:rsidRPr="00930B0B" w:rsidRDefault="00A012A7" w:rsidP="00A012A7">
      <w:pPr>
        <w:numPr>
          <w:ilvl w:val="0"/>
          <w:numId w:val="5"/>
        </w:numPr>
        <w:jc w:val="both"/>
        <w:rPr>
          <w:bCs/>
          <w:sz w:val="16"/>
          <w:szCs w:val="16"/>
        </w:rPr>
      </w:pPr>
      <w:r>
        <w:rPr>
          <w:bCs/>
          <w:sz w:val="16"/>
          <w:szCs w:val="16"/>
        </w:rPr>
        <w:t>u</w:t>
      </w:r>
      <w:r w:rsidRPr="00930B0B">
        <w:rPr>
          <w:bCs/>
          <w:sz w:val="16"/>
          <w:szCs w:val="16"/>
        </w:rPr>
        <w:t xml:space="preserve">dzielać będzie Zamawiającemu na bieżąco przez cały okres obowiązywania umowy wyjaśnień i pomocy w sprawach związanych z obsługą kart płatniczych i używaniem samoobsługowych terminali </w:t>
      </w:r>
      <w:r>
        <w:rPr>
          <w:bCs/>
          <w:sz w:val="16"/>
          <w:szCs w:val="16"/>
        </w:rPr>
        <w:t>POS</w:t>
      </w:r>
      <w:r w:rsidRPr="00930B0B">
        <w:rPr>
          <w:bCs/>
          <w:sz w:val="16"/>
          <w:szCs w:val="16"/>
        </w:rPr>
        <w:t>.</w:t>
      </w:r>
    </w:p>
    <w:p w14:paraId="21AC51C5" w14:textId="77777777" w:rsidR="00A012A7" w:rsidRPr="00930B0B" w:rsidRDefault="00A012A7" w:rsidP="00A012A7">
      <w:pPr>
        <w:numPr>
          <w:ilvl w:val="0"/>
          <w:numId w:val="5"/>
        </w:numPr>
        <w:jc w:val="both"/>
        <w:rPr>
          <w:bCs/>
          <w:sz w:val="16"/>
          <w:szCs w:val="16"/>
        </w:rPr>
      </w:pPr>
      <w:r>
        <w:rPr>
          <w:bCs/>
          <w:sz w:val="16"/>
          <w:szCs w:val="16"/>
        </w:rPr>
        <w:t>z</w:t>
      </w:r>
      <w:r w:rsidRPr="00930B0B">
        <w:rPr>
          <w:bCs/>
          <w:sz w:val="16"/>
          <w:szCs w:val="16"/>
        </w:rPr>
        <w:t xml:space="preserve">apewni bezpieczny </w:t>
      </w:r>
      <w:proofErr w:type="spellStart"/>
      <w:r w:rsidRPr="00930B0B">
        <w:rPr>
          <w:bCs/>
          <w:sz w:val="16"/>
          <w:szCs w:val="16"/>
        </w:rPr>
        <w:t>przesył</w:t>
      </w:r>
      <w:proofErr w:type="spellEnd"/>
      <w:r w:rsidRPr="00930B0B">
        <w:rPr>
          <w:bCs/>
          <w:sz w:val="16"/>
          <w:szCs w:val="16"/>
        </w:rPr>
        <w:t xml:space="preserve"> danych podczas operacji za pomocą samoobsługowego terminala </w:t>
      </w:r>
      <w:r>
        <w:rPr>
          <w:bCs/>
          <w:sz w:val="16"/>
          <w:szCs w:val="16"/>
        </w:rPr>
        <w:t>POS</w:t>
      </w:r>
      <w:r w:rsidRPr="00930B0B">
        <w:rPr>
          <w:bCs/>
          <w:sz w:val="16"/>
          <w:szCs w:val="16"/>
        </w:rPr>
        <w:t>.</w:t>
      </w:r>
    </w:p>
    <w:p w14:paraId="6AC9BDB8" w14:textId="77777777" w:rsidR="00A012A7" w:rsidRPr="00930B0B" w:rsidRDefault="00A012A7" w:rsidP="00A012A7">
      <w:pPr>
        <w:rPr>
          <w:bCs/>
          <w:sz w:val="16"/>
          <w:szCs w:val="16"/>
        </w:rPr>
      </w:pPr>
    </w:p>
    <w:p w14:paraId="58801CCD" w14:textId="77777777" w:rsidR="00A012A7" w:rsidRPr="00930B0B" w:rsidRDefault="00A012A7" w:rsidP="00A012A7">
      <w:pPr>
        <w:numPr>
          <w:ilvl w:val="0"/>
          <w:numId w:val="2"/>
        </w:numPr>
        <w:rPr>
          <w:b/>
          <w:bCs/>
          <w:sz w:val="16"/>
          <w:szCs w:val="16"/>
        </w:rPr>
      </w:pPr>
      <w:r w:rsidRPr="00930B0B">
        <w:rPr>
          <w:b/>
          <w:bCs/>
          <w:sz w:val="16"/>
          <w:szCs w:val="16"/>
        </w:rPr>
        <w:t xml:space="preserve"> WYMOGI DOT. FORMULARZA OFERTOWEGO</w:t>
      </w:r>
    </w:p>
    <w:p w14:paraId="45DDC01C" w14:textId="77777777" w:rsidR="00A012A7" w:rsidRPr="00930B0B" w:rsidRDefault="00A012A7" w:rsidP="00A012A7">
      <w:pPr>
        <w:jc w:val="both"/>
        <w:rPr>
          <w:bCs/>
          <w:sz w:val="16"/>
          <w:szCs w:val="16"/>
        </w:rPr>
      </w:pPr>
      <w:r w:rsidRPr="00930B0B">
        <w:rPr>
          <w:bCs/>
          <w:sz w:val="16"/>
          <w:szCs w:val="16"/>
        </w:rPr>
        <w:t>Wykonawca ma obowiązek podać w formularzu ofertowym:</w:t>
      </w:r>
    </w:p>
    <w:p w14:paraId="671FD1A1" w14:textId="77777777" w:rsidR="00A012A7" w:rsidRPr="00930B0B" w:rsidRDefault="00A012A7" w:rsidP="00A012A7">
      <w:pPr>
        <w:numPr>
          <w:ilvl w:val="1"/>
          <w:numId w:val="2"/>
        </w:numPr>
        <w:jc w:val="both"/>
        <w:rPr>
          <w:bCs/>
          <w:sz w:val="16"/>
          <w:szCs w:val="16"/>
        </w:rPr>
      </w:pPr>
      <w:r>
        <w:rPr>
          <w:bCs/>
          <w:sz w:val="16"/>
          <w:szCs w:val="16"/>
        </w:rPr>
        <w:t>p</w:t>
      </w:r>
      <w:r w:rsidRPr="00930B0B">
        <w:rPr>
          <w:bCs/>
          <w:sz w:val="16"/>
          <w:szCs w:val="16"/>
        </w:rPr>
        <w:t>rocentową wartość prowizji naliczanej i płatnej od łącznej wartości transakcji zrealizowanych przy pomocy elektronicznych kart płatniczych na wszystkich terminalach Zamawiającego (obowiązującej przez cały okres trwania umowy).</w:t>
      </w:r>
    </w:p>
    <w:p w14:paraId="4AB9F710" w14:textId="77777777" w:rsidR="00A012A7" w:rsidRPr="00930B0B" w:rsidRDefault="00A012A7" w:rsidP="00A012A7">
      <w:pPr>
        <w:numPr>
          <w:ilvl w:val="1"/>
          <w:numId w:val="2"/>
        </w:numPr>
        <w:jc w:val="both"/>
        <w:rPr>
          <w:bCs/>
          <w:sz w:val="16"/>
          <w:szCs w:val="16"/>
        </w:rPr>
      </w:pPr>
      <w:r>
        <w:rPr>
          <w:bCs/>
          <w:sz w:val="16"/>
          <w:szCs w:val="16"/>
        </w:rPr>
        <w:t>m</w:t>
      </w:r>
      <w:r w:rsidRPr="00930B0B">
        <w:rPr>
          <w:bCs/>
          <w:sz w:val="16"/>
          <w:szCs w:val="16"/>
        </w:rPr>
        <w:t>iesięczny koszt (cena) najmu jednego terminala do obsługi elektronicznych kart płatniczych w cenach netto i brutto wraz z podaniem wysokości podatku VAT w procentach oraz wartość brutto miesięcznego kosztu najmu 2</w:t>
      </w:r>
      <w:r>
        <w:rPr>
          <w:bCs/>
          <w:sz w:val="16"/>
          <w:szCs w:val="16"/>
        </w:rPr>
        <w:t>8</w:t>
      </w:r>
      <w:r w:rsidRPr="00930B0B">
        <w:rPr>
          <w:bCs/>
          <w:sz w:val="16"/>
          <w:szCs w:val="16"/>
        </w:rPr>
        <w:t>0 sztuk terminali.</w:t>
      </w:r>
    </w:p>
    <w:p w14:paraId="5B47F807" w14:textId="77777777" w:rsidR="00A012A7" w:rsidRPr="00930B0B" w:rsidRDefault="00A012A7" w:rsidP="00A012A7">
      <w:pPr>
        <w:numPr>
          <w:ilvl w:val="1"/>
          <w:numId w:val="2"/>
        </w:numPr>
        <w:jc w:val="both"/>
        <w:rPr>
          <w:bCs/>
          <w:sz w:val="16"/>
          <w:szCs w:val="16"/>
        </w:rPr>
      </w:pPr>
      <w:r>
        <w:rPr>
          <w:bCs/>
          <w:sz w:val="16"/>
          <w:szCs w:val="16"/>
        </w:rPr>
        <w:t>k</w:t>
      </w:r>
      <w:r w:rsidRPr="00930B0B">
        <w:rPr>
          <w:bCs/>
          <w:sz w:val="16"/>
          <w:szCs w:val="16"/>
        </w:rPr>
        <w:t>oszt jednorazowej opłaty instalacyjnej za jedną sztukę terminala oraz informację, co zawarte jest w tej opłacie.</w:t>
      </w:r>
    </w:p>
    <w:p w14:paraId="73030EDD" w14:textId="77777777" w:rsidR="00A012A7" w:rsidRPr="00930B0B" w:rsidRDefault="00A012A7" w:rsidP="00A012A7">
      <w:pPr>
        <w:numPr>
          <w:ilvl w:val="1"/>
          <w:numId w:val="2"/>
        </w:numPr>
        <w:jc w:val="both"/>
        <w:rPr>
          <w:bCs/>
          <w:sz w:val="16"/>
          <w:szCs w:val="16"/>
        </w:rPr>
      </w:pPr>
      <w:r w:rsidRPr="00930B0B">
        <w:rPr>
          <w:bCs/>
          <w:sz w:val="16"/>
          <w:szCs w:val="16"/>
        </w:rPr>
        <w:t>Koszty integracji z aplikacją sprzedażową Zamawiającego.</w:t>
      </w:r>
    </w:p>
    <w:p w14:paraId="575E2AD2" w14:textId="77777777" w:rsidR="00A012A7" w:rsidRPr="00930B0B" w:rsidRDefault="00A012A7" w:rsidP="00A012A7">
      <w:pPr>
        <w:ind w:left="426"/>
        <w:jc w:val="both"/>
        <w:rPr>
          <w:bCs/>
          <w:sz w:val="16"/>
          <w:szCs w:val="16"/>
        </w:rPr>
      </w:pPr>
      <w:r w:rsidRPr="00930B0B">
        <w:rPr>
          <w:bCs/>
          <w:sz w:val="16"/>
          <w:szCs w:val="16"/>
        </w:rPr>
        <w:t>Podane w ofercie ceny muszą uwzględniać wszystkie wymagania Zamawiającego określone w niniejszej specyfikacji, obejmować wszystkie koszty, jakie poniesie Wykonawca z tytułu należytego oraz zgodnego z umową i obowiązującymi przepisami prawa wykonania przedmiotu zamówienia.</w:t>
      </w:r>
    </w:p>
    <w:p w14:paraId="529DA1EA" w14:textId="77777777" w:rsidR="00A012A7" w:rsidRPr="00930B0B" w:rsidRDefault="00A012A7" w:rsidP="00A012A7">
      <w:pPr>
        <w:rPr>
          <w:bCs/>
          <w:sz w:val="16"/>
          <w:szCs w:val="16"/>
        </w:rPr>
      </w:pPr>
    </w:p>
    <w:p w14:paraId="04596FDE" w14:textId="77777777" w:rsidR="00A012A7" w:rsidRPr="00930B0B" w:rsidRDefault="00A012A7" w:rsidP="00A012A7">
      <w:pPr>
        <w:numPr>
          <w:ilvl w:val="0"/>
          <w:numId w:val="2"/>
        </w:numPr>
        <w:jc w:val="both"/>
        <w:rPr>
          <w:b/>
          <w:bCs/>
          <w:sz w:val="16"/>
          <w:szCs w:val="16"/>
        </w:rPr>
      </w:pPr>
      <w:r w:rsidRPr="00930B0B">
        <w:rPr>
          <w:b/>
          <w:bCs/>
          <w:sz w:val="16"/>
          <w:szCs w:val="16"/>
        </w:rPr>
        <w:t>POZOSTAŁE</w:t>
      </w:r>
    </w:p>
    <w:p w14:paraId="762553AA" w14:textId="77777777" w:rsidR="00A012A7" w:rsidRPr="00930B0B" w:rsidRDefault="00A012A7" w:rsidP="00A012A7">
      <w:pPr>
        <w:numPr>
          <w:ilvl w:val="1"/>
          <w:numId w:val="2"/>
        </w:numPr>
        <w:jc w:val="both"/>
        <w:rPr>
          <w:bCs/>
          <w:sz w:val="16"/>
          <w:szCs w:val="16"/>
        </w:rPr>
      </w:pPr>
      <w:r w:rsidRPr="00930B0B">
        <w:rPr>
          <w:bCs/>
          <w:sz w:val="16"/>
          <w:szCs w:val="16"/>
        </w:rPr>
        <w:t>Miejsce realizacji – Koleje Małopolskie, ul. Wodna 2, 30 – 556 Kraków.</w:t>
      </w:r>
    </w:p>
    <w:p w14:paraId="11078D8F" w14:textId="69C1E631" w:rsidR="00A012A7" w:rsidRPr="00930B0B" w:rsidRDefault="00A012A7" w:rsidP="00A012A7">
      <w:pPr>
        <w:numPr>
          <w:ilvl w:val="1"/>
          <w:numId w:val="2"/>
        </w:numPr>
        <w:jc w:val="both"/>
        <w:rPr>
          <w:bCs/>
          <w:sz w:val="16"/>
          <w:szCs w:val="16"/>
        </w:rPr>
      </w:pPr>
      <w:r w:rsidRPr="00930B0B">
        <w:rPr>
          <w:bCs/>
          <w:sz w:val="16"/>
          <w:szCs w:val="16"/>
        </w:rPr>
        <w:t xml:space="preserve">Realizacja płatności – </w:t>
      </w:r>
      <w:r>
        <w:rPr>
          <w:bCs/>
          <w:sz w:val="16"/>
          <w:szCs w:val="16"/>
        </w:rPr>
        <w:t>z</w:t>
      </w:r>
      <w:r w:rsidRPr="00930B0B">
        <w:rPr>
          <w:bCs/>
          <w:sz w:val="16"/>
          <w:szCs w:val="16"/>
        </w:rPr>
        <w:t xml:space="preserve">apłata  prowizji  oraz  opłata  za  najem  terminali </w:t>
      </w:r>
      <w:r>
        <w:rPr>
          <w:bCs/>
          <w:sz w:val="16"/>
          <w:szCs w:val="16"/>
        </w:rPr>
        <w:t>POS</w:t>
      </w:r>
      <w:r w:rsidRPr="00930B0B">
        <w:rPr>
          <w:bCs/>
          <w:sz w:val="16"/>
          <w:szCs w:val="16"/>
        </w:rPr>
        <w:t xml:space="preserve"> będzie  dokonywana,  co  miesiąc przelewem,  w  złotych  polskich,  na  podstawie  wystawionej  przez  Wykonawcę  faktury VAT, w terminie </w:t>
      </w:r>
      <w:r w:rsidR="00D30845">
        <w:rPr>
          <w:bCs/>
          <w:sz w:val="16"/>
          <w:szCs w:val="16"/>
        </w:rPr>
        <w:t>30</w:t>
      </w:r>
      <w:bookmarkStart w:id="0" w:name="_GoBack"/>
      <w:bookmarkEnd w:id="0"/>
      <w:r w:rsidRPr="00930B0B">
        <w:rPr>
          <w:bCs/>
          <w:sz w:val="16"/>
          <w:szCs w:val="16"/>
        </w:rPr>
        <w:t xml:space="preserve"> dni od daty otrzymania  przez  Zamawiającego  prawidłowo wystawionej faktury VAT. </w:t>
      </w:r>
    </w:p>
    <w:p w14:paraId="69CE5088" w14:textId="77777777" w:rsidR="00A012A7" w:rsidRPr="00930B0B" w:rsidRDefault="00A012A7" w:rsidP="00A012A7">
      <w:pPr>
        <w:numPr>
          <w:ilvl w:val="1"/>
          <w:numId w:val="2"/>
        </w:numPr>
        <w:jc w:val="both"/>
        <w:rPr>
          <w:bCs/>
          <w:sz w:val="16"/>
          <w:szCs w:val="16"/>
        </w:rPr>
      </w:pPr>
      <w:r w:rsidRPr="00930B0B">
        <w:rPr>
          <w:bCs/>
          <w:sz w:val="16"/>
          <w:szCs w:val="16"/>
        </w:rPr>
        <w:t>Wykonawca informować będzie pisemnie Zamawiającego o każdej zmianie  jego danych kontaktowych, w tym adresu korespondencyjnego.</w:t>
      </w:r>
    </w:p>
    <w:p w14:paraId="2AF46A58" w14:textId="77777777" w:rsidR="00A012A7" w:rsidRPr="00F77BC5" w:rsidRDefault="00A012A7" w:rsidP="00A012A7"/>
    <w:p w14:paraId="7DA06BE3" w14:textId="77777777" w:rsidR="006935B7" w:rsidRDefault="006935B7"/>
    <w:sectPr w:rsidR="006935B7" w:rsidSect="00841509">
      <w:headerReference w:type="default" r:id="rId7"/>
      <w:footerReference w:type="default" r:id="rId8"/>
      <w:pgSz w:w="11906" w:h="16838"/>
      <w:pgMar w:top="1418" w:right="567" w:bottom="624" w:left="567" w:header="426" w:footer="74" w:gutter="0"/>
      <w:cols w:space="284"/>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959707" w16cex:dateUtc="2025-04-07T08: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30475" w14:textId="77777777" w:rsidR="008649BB" w:rsidRDefault="008649BB">
      <w:pPr>
        <w:spacing w:after="0" w:line="240" w:lineRule="auto"/>
      </w:pPr>
      <w:r>
        <w:separator/>
      </w:r>
    </w:p>
  </w:endnote>
  <w:endnote w:type="continuationSeparator" w:id="0">
    <w:p w14:paraId="63EF8DCF" w14:textId="77777777" w:rsidR="008649BB" w:rsidRDefault="0086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6EAD5" w14:textId="77777777" w:rsidR="009371B0" w:rsidRDefault="00A012A7" w:rsidP="00917609">
    <w:pPr>
      <w:pStyle w:val="Normalnyparagraf7"/>
      <w:spacing w:before="60"/>
      <w:jc w:val="center"/>
    </w:pPr>
    <w:r>
      <w:t xml:space="preserve">Strona </w:t>
    </w:r>
    <w:r>
      <w:fldChar w:fldCharType="begin"/>
    </w:r>
    <w:r>
      <w:instrText>PAGE  \* Arabic  \* MERGEFORMAT</w:instrText>
    </w:r>
    <w:r>
      <w:fldChar w:fldCharType="separate"/>
    </w:r>
    <w:r>
      <w:rPr>
        <w:noProof/>
      </w:rPr>
      <w:t>15</w:t>
    </w:r>
    <w:r>
      <w:fldChar w:fldCharType="end"/>
    </w:r>
    <w:r>
      <w:t xml:space="preserve"> z </w:t>
    </w:r>
    <w:r>
      <w:fldChar w:fldCharType="begin"/>
    </w:r>
    <w:r>
      <w:instrText>NUMPAGES \ * arabskie \ * MERGEFORMAT</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20EDB" w14:textId="77777777" w:rsidR="008649BB" w:rsidRDefault="008649BB">
      <w:pPr>
        <w:spacing w:after="0" w:line="240" w:lineRule="auto"/>
      </w:pPr>
      <w:r>
        <w:separator/>
      </w:r>
    </w:p>
  </w:footnote>
  <w:footnote w:type="continuationSeparator" w:id="0">
    <w:p w14:paraId="24B84222" w14:textId="77777777" w:rsidR="008649BB" w:rsidRDefault="00864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00145" w14:textId="77777777" w:rsidR="009371B0" w:rsidRDefault="009371B0" w:rsidP="006929C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09B"/>
    <w:multiLevelType w:val="hybridMultilevel"/>
    <w:tmpl w:val="B3AEB640"/>
    <w:lvl w:ilvl="0" w:tplc="4F8C03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A717255"/>
    <w:multiLevelType w:val="hybridMultilevel"/>
    <w:tmpl w:val="63F65CB4"/>
    <w:lvl w:ilvl="0" w:tplc="797E5A7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904507"/>
    <w:multiLevelType w:val="hybridMultilevel"/>
    <w:tmpl w:val="8826A6DA"/>
    <w:lvl w:ilvl="0" w:tplc="DD744BCE">
      <w:start w:val="1"/>
      <w:numFmt w:val="upperRoman"/>
      <w:lvlText w:val="%1."/>
      <w:lvlJc w:val="left"/>
      <w:pPr>
        <w:ind w:left="1080" w:hanging="720"/>
      </w:pPr>
      <w:rPr>
        <w:rFonts w:hint="default"/>
      </w:rPr>
    </w:lvl>
    <w:lvl w:ilvl="1" w:tplc="99969B82">
      <w:start w:val="1"/>
      <w:numFmt w:val="decimal"/>
      <w:lvlText w:val="%2."/>
      <w:lvlJc w:val="left"/>
      <w:pPr>
        <w:ind w:left="1134" w:hanging="708"/>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8E3727"/>
    <w:multiLevelType w:val="hybridMultilevel"/>
    <w:tmpl w:val="F904A6A2"/>
    <w:lvl w:ilvl="0" w:tplc="87A8A4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EF35F5"/>
    <w:multiLevelType w:val="hybridMultilevel"/>
    <w:tmpl w:val="3168AAD0"/>
    <w:lvl w:ilvl="0" w:tplc="0415000F">
      <w:start w:val="1"/>
      <w:numFmt w:val="decimal"/>
      <w:lvlText w:val="%1."/>
      <w:lvlJc w:val="left"/>
      <w:pPr>
        <w:ind w:left="720" w:hanging="360"/>
      </w:pPr>
      <w:rPr>
        <w:rFonts w:hint="default"/>
      </w:rPr>
    </w:lvl>
    <w:lvl w:ilvl="1" w:tplc="04150011">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A7"/>
    <w:rsid w:val="000A7553"/>
    <w:rsid w:val="00692578"/>
    <w:rsid w:val="006935B7"/>
    <w:rsid w:val="008649BB"/>
    <w:rsid w:val="009371B0"/>
    <w:rsid w:val="00A012A7"/>
    <w:rsid w:val="00D30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453C"/>
  <w15:chartTrackingRefBased/>
  <w15:docId w15:val="{C2B94400-DFD9-4BE4-A281-6BF2DE06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012A7"/>
    <w:pPr>
      <w:spacing w:after="120" w:line="264" w:lineRule="auto"/>
    </w:pPr>
    <w:rPr>
      <w:rFonts w:eastAsiaTheme="minorEastAs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012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12A7"/>
    <w:rPr>
      <w:rFonts w:eastAsiaTheme="minorEastAsia"/>
      <w:sz w:val="20"/>
      <w:szCs w:val="20"/>
    </w:rPr>
  </w:style>
  <w:style w:type="paragraph" w:customStyle="1" w:styleId="Normalnyparagraf7">
    <w:name w:val="Normalny paragraf 7"/>
    <w:basedOn w:val="Normalny"/>
    <w:link w:val="Normalnyparagraf7Znak"/>
    <w:qFormat/>
    <w:rsid w:val="00A012A7"/>
    <w:pPr>
      <w:spacing w:after="0" w:line="216" w:lineRule="auto"/>
    </w:pPr>
    <w:rPr>
      <w:sz w:val="14"/>
    </w:rPr>
  </w:style>
  <w:style w:type="character" w:customStyle="1" w:styleId="Normalnyparagraf7Znak">
    <w:name w:val="Normalny paragraf 7 Znak"/>
    <w:basedOn w:val="Domylnaczcionkaakapitu"/>
    <w:link w:val="Normalnyparagraf7"/>
    <w:rsid w:val="00A012A7"/>
    <w:rPr>
      <w:rFonts w:eastAsiaTheme="minorEastAsia"/>
      <w:sz w:val="14"/>
      <w:szCs w:val="20"/>
    </w:rPr>
  </w:style>
  <w:style w:type="character" w:styleId="Odwoaniedokomentarza">
    <w:name w:val="annotation reference"/>
    <w:basedOn w:val="Domylnaczcionkaakapitu"/>
    <w:uiPriority w:val="99"/>
    <w:semiHidden/>
    <w:unhideWhenUsed/>
    <w:rsid w:val="000A7553"/>
    <w:rPr>
      <w:sz w:val="16"/>
      <w:szCs w:val="16"/>
    </w:rPr>
  </w:style>
  <w:style w:type="paragraph" w:styleId="Tekstkomentarza">
    <w:name w:val="annotation text"/>
    <w:basedOn w:val="Normalny"/>
    <w:link w:val="TekstkomentarzaZnak"/>
    <w:uiPriority w:val="99"/>
    <w:unhideWhenUsed/>
    <w:rsid w:val="000A7553"/>
    <w:pPr>
      <w:spacing w:line="240" w:lineRule="auto"/>
    </w:pPr>
  </w:style>
  <w:style w:type="character" w:customStyle="1" w:styleId="TekstkomentarzaZnak">
    <w:name w:val="Tekst komentarza Znak"/>
    <w:basedOn w:val="Domylnaczcionkaakapitu"/>
    <w:link w:val="Tekstkomentarza"/>
    <w:uiPriority w:val="99"/>
    <w:rsid w:val="000A7553"/>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0A7553"/>
    <w:rPr>
      <w:b/>
      <w:bCs/>
    </w:rPr>
  </w:style>
  <w:style w:type="character" w:customStyle="1" w:styleId="TematkomentarzaZnak">
    <w:name w:val="Temat komentarza Znak"/>
    <w:basedOn w:val="TekstkomentarzaZnak"/>
    <w:link w:val="Tematkomentarza"/>
    <w:uiPriority w:val="99"/>
    <w:semiHidden/>
    <w:rsid w:val="000A7553"/>
    <w:rPr>
      <w:rFonts w:eastAsiaTheme="minorEastAsia"/>
      <w:b/>
      <w:bCs/>
      <w:sz w:val="20"/>
      <w:szCs w:val="20"/>
    </w:rPr>
  </w:style>
  <w:style w:type="paragraph" w:styleId="Tekstdymka">
    <w:name w:val="Balloon Text"/>
    <w:basedOn w:val="Normalny"/>
    <w:link w:val="TekstdymkaZnak"/>
    <w:uiPriority w:val="99"/>
    <w:semiHidden/>
    <w:unhideWhenUsed/>
    <w:rsid w:val="00D308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084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1323</Words>
  <Characters>7943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Marek</dc:creator>
  <cp:keywords/>
  <dc:description/>
  <cp:lastModifiedBy>Mateusz Marek</cp:lastModifiedBy>
  <cp:revision>2</cp:revision>
  <dcterms:created xsi:type="dcterms:W3CDTF">2025-04-22T09:33:00Z</dcterms:created>
  <dcterms:modified xsi:type="dcterms:W3CDTF">2025-04-22T09:33:00Z</dcterms:modified>
</cp:coreProperties>
</file>