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1FE4C" w14:textId="14466574" w:rsidR="00800A11" w:rsidRPr="004E103B" w:rsidRDefault="004E103B" w:rsidP="004E10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03B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</w:p>
    <w:p w14:paraId="7FDBCFD6" w14:textId="77777777" w:rsidR="00213801" w:rsidRDefault="00213801"/>
    <w:p w14:paraId="2B96269B" w14:textId="77777777" w:rsidR="004E103B" w:rsidRDefault="004E103B"/>
    <w:p w14:paraId="4A65C1F4" w14:textId="77777777" w:rsidR="00213801" w:rsidRPr="00213801" w:rsidRDefault="00213801" w:rsidP="004212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13801">
        <w:rPr>
          <w:rFonts w:ascii="Times New Roman" w:hAnsi="Times New Roman" w:cs="Times New Roman"/>
          <w:kern w:val="0"/>
          <w:sz w:val="24"/>
          <w:szCs w:val="24"/>
        </w:rPr>
        <w:t xml:space="preserve">Proszę o skorygowanie SWZ pkt XXVII </w:t>
      </w:r>
      <w:proofErr w:type="spellStart"/>
      <w:r w:rsidRPr="00213801">
        <w:rPr>
          <w:rFonts w:ascii="Times New Roman" w:hAnsi="Times New Roman" w:cs="Times New Roman"/>
          <w:kern w:val="0"/>
          <w:sz w:val="24"/>
          <w:szCs w:val="24"/>
        </w:rPr>
        <w:t>ppkt</w:t>
      </w:r>
      <w:proofErr w:type="spellEnd"/>
      <w:r w:rsidRPr="00213801">
        <w:rPr>
          <w:rFonts w:ascii="Times New Roman" w:hAnsi="Times New Roman" w:cs="Times New Roman"/>
          <w:kern w:val="0"/>
          <w:sz w:val="24"/>
          <w:szCs w:val="24"/>
        </w:rPr>
        <w:t xml:space="preserve"> 1 dotyczący wysokości wadium</w:t>
      </w:r>
    </w:p>
    <w:p w14:paraId="4528E490" w14:textId="3CCE9AA9" w:rsidR="00213801" w:rsidRPr="00213801" w:rsidRDefault="00213801" w:rsidP="004212E5">
      <w:pPr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13801">
        <w:rPr>
          <w:rFonts w:ascii="Times New Roman" w:hAnsi="Times New Roman" w:cs="Times New Roman"/>
          <w:kern w:val="0"/>
          <w:sz w:val="24"/>
          <w:szCs w:val="24"/>
        </w:rPr>
        <w:t>dla poszczególnych części zamówienia.</w:t>
      </w:r>
    </w:p>
    <w:p w14:paraId="50319F75" w14:textId="7CC36D50" w:rsidR="00213801" w:rsidRPr="00213801" w:rsidRDefault="00213801" w:rsidP="004212E5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13801">
        <w:rPr>
          <w:rFonts w:ascii="Times New Roman" w:hAnsi="Times New Roman" w:cs="Times New Roman"/>
          <w:b/>
          <w:bCs/>
          <w:kern w:val="0"/>
          <w:sz w:val="24"/>
          <w:szCs w:val="24"/>
        </w:rPr>
        <w:t>Odp.</w:t>
      </w:r>
      <w:r w:rsidR="00DA611D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21380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Dokonano korekty zapisu zarówno w ogłoszeniu o zamówieniu jak i SWZ. Poprawny zapis pkt XXVII SWZ i 6.4.1. ogłoszenia o zamówieniu brzmi:</w:t>
      </w:r>
    </w:p>
    <w:p w14:paraId="48ACF951" w14:textId="77777777" w:rsidR="00213801" w:rsidRPr="00C62B5C" w:rsidRDefault="00213801" w:rsidP="004212E5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2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Zamawiający żąda wniesienia wadium w kwocie: </w:t>
      </w:r>
    </w:p>
    <w:p w14:paraId="34715FF6" w14:textId="77777777" w:rsidR="00213801" w:rsidRPr="00C62B5C" w:rsidRDefault="00213801" w:rsidP="004212E5">
      <w:pPr>
        <w:spacing w:line="276" w:lineRule="auto"/>
        <w:ind w:left="851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2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1) część I zamówienia: w wysokości – 25 000,00 PLN (dwadzieścia pięć tysięcy złotych) </w:t>
      </w:r>
    </w:p>
    <w:p w14:paraId="1C97AA65" w14:textId="77777777" w:rsidR="00213801" w:rsidRPr="00C62B5C" w:rsidRDefault="00213801" w:rsidP="004212E5">
      <w:pPr>
        <w:spacing w:line="276" w:lineRule="auto"/>
        <w:ind w:left="851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2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2) część II zamówienia: w wysokości – 15 000,00 PLN (piętnaście tysięcy złotych) </w:t>
      </w:r>
    </w:p>
    <w:p w14:paraId="46650231" w14:textId="75E630BE" w:rsidR="00213801" w:rsidRPr="00C62B5C" w:rsidRDefault="00213801" w:rsidP="004212E5">
      <w:pPr>
        <w:spacing w:line="276" w:lineRule="auto"/>
        <w:ind w:left="851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2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3) część III zamówienia: w wysokości – 35 000,00 PLN (trzydzieści pięć tysięcy złotych) </w:t>
      </w:r>
    </w:p>
    <w:p w14:paraId="5C41C4FA" w14:textId="7284DC32" w:rsidR="00213801" w:rsidRPr="00C62B5C" w:rsidRDefault="00213801" w:rsidP="004212E5">
      <w:pPr>
        <w:spacing w:line="276" w:lineRule="auto"/>
        <w:ind w:left="851" w:hanging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2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4) część IV zamówienia: w wysokości – 25 000,00 PLN (dwadzieścia pięć tysięcy złotych) </w:t>
      </w:r>
    </w:p>
    <w:p w14:paraId="4EBC6772" w14:textId="6463F6E1" w:rsidR="00213801" w:rsidRPr="00C62B5C" w:rsidRDefault="00213801" w:rsidP="004212E5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Zgodnie z art. 97 ust. 7 pkt 2-4 </w:t>
      </w:r>
      <w:proofErr w:type="spellStart"/>
      <w:r w:rsidRPr="00C62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Pzp</w:t>
      </w:r>
      <w:proofErr w:type="spellEnd"/>
      <w:r w:rsidRPr="00C62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wadium może być wnoszone według wyboru wykonawcy w jednej lub kilku następujących formach: 1) pieniądzu; 2) gwarancjach bankowych; 3) gwarancjach ubezpieczeniowych; 4) poręczeniach udzielanych przez podmioty, o których mowa w art. 6b ust. 5 pkt 2 ustawy z dnia 9 listopada 2000 r. o utworzeniu Polskiej Agencji Rozwoju Przedsiębiorczości (Dz. U. z 2019 r. poz. 310, 836 i 1572).</w:t>
      </w:r>
    </w:p>
    <w:p w14:paraId="583A6F50" w14:textId="77777777" w:rsidR="00DA611D" w:rsidRPr="00DA611D" w:rsidRDefault="00DA611D" w:rsidP="004212E5">
      <w:pPr>
        <w:spacing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7CBDD5" w14:textId="3D8F70A5" w:rsidR="00213801" w:rsidRDefault="00213801" w:rsidP="004212E5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3801">
        <w:rPr>
          <w:rFonts w:ascii="Times New Roman" w:hAnsi="Times New Roman" w:cs="Times New Roman"/>
          <w:sz w:val="24"/>
          <w:szCs w:val="24"/>
        </w:rPr>
        <w:t xml:space="preserve">Czy zamawiający uzna spełnienie warunku udziału w </w:t>
      </w:r>
      <w:r w:rsidR="00EB2FFF" w:rsidRPr="00213801">
        <w:rPr>
          <w:rFonts w:ascii="Times New Roman" w:hAnsi="Times New Roman" w:cs="Times New Roman"/>
          <w:sz w:val="24"/>
          <w:szCs w:val="24"/>
        </w:rPr>
        <w:t>postępowaniu,</w:t>
      </w:r>
      <w:r w:rsidRPr="00213801">
        <w:rPr>
          <w:rFonts w:ascii="Times New Roman" w:hAnsi="Times New Roman" w:cs="Times New Roman"/>
          <w:sz w:val="24"/>
          <w:szCs w:val="24"/>
        </w:rPr>
        <w:t xml:space="preserve"> jeżeli wykonawca wykaże co najmniej jedną robotę budowlaną, polegającą na budowie sieci kanalizacji deszczowej o wartości nie mniejszej niż 3 500 000 ,00 zł brutto.</w:t>
      </w:r>
    </w:p>
    <w:p w14:paraId="4B6D5533" w14:textId="7D8C865C" w:rsidR="00DA611D" w:rsidRPr="00C62B5C" w:rsidRDefault="00DA611D" w:rsidP="004212E5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B5C">
        <w:rPr>
          <w:rFonts w:ascii="Times New Roman" w:hAnsi="Times New Roman" w:cs="Times New Roman"/>
          <w:b/>
          <w:bCs/>
          <w:sz w:val="24"/>
          <w:szCs w:val="24"/>
        </w:rPr>
        <w:t>Odp.2</w:t>
      </w:r>
      <w:r w:rsidR="00C62B5C" w:rsidRPr="00C62B5C">
        <w:rPr>
          <w:rFonts w:ascii="Times New Roman" w:hAnsi="Times New Roman" w:cs="Times New Roman"/>
          <w:b/>
          <w:bCs/>
          <w:sz w:val="24"/>
          <w:szCs w:val="24"/>
        </w:rPr>
        <w:t xml:space="preserve"> Nie</w:t>
      </w:r>
    </w:p>
    <w:p w14:paraId="1FD51AD3" w14:textId="77777777" w:rsidR="00DA611D" w:rsidRPr="00DA611D" w:rsidRDefault="00DA611D" w:rsidP="004212E5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DB3561D" w14:textId="17F7BF58" w:rsidR="00EB2FFF" w:rsidRDefault="00EB2FFF" w:rsidP="004212E5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sz w:val="24"/>
          <w:szCs w:val="24"/>
        </w:rPr>
        <w:t>P</w:t>
      </w:r>
      <w:r w:rsidRPr="00EB2FFF">
        <w:rPr>
          <w:rFonts w:ascii="Times New Roman" w:hAnsi="Times New Roman" w:cs="Times New Roman"/>
          <w:sz w:val="24"/>
          <w:szCs w:val="24"/>
          <w:lang w:eastAsia="pl-PL" w:bidi="pl-PL"/>
        </w:rPr>
        <w:t>roszę o wyszczególnienie, które rysunki z dokumentacji technicznej</w:t>
      </w:r>
      <w:r w:rsidRPr="00EB2FFF">
        <w:rPr>
          <w:rFonts w:ascii="Times New Roman" w:hAnsi="Times New Roman" w:cs="Times New Roman"/>
          <w:sz w:val="24"/>
          <w:szCs w:val="24"/>
          <w:lang w:eastAsia="pl-PL" w:bidi="pl-PL"/>
        </w:rPr>
        <w:br/>
        <w:t>odpowiadają każdej z części lub wypisanie zakresów (Od jakiej studni - numer</w:t>
      </w:r>
      <w:r w:rsidRPr="00EB2FFF">
        <w:rPr>
          <w:rFonts w:ascii="Times New Roman" w:hAnsi="Times New Roman" w:cs="Times New Roman"/>
          <w:sz w:val="24"/>
          <w:szCs w:val="24"/>
          <w:lang w:eastAsia="pl-PL" w:bidi="pl-PL"/>
        </w:rPr>
        <w:br/>
        <w:t>studni do jakiej studni jest przypisana dana część) dla poszczególnych części</w:t>
      </w:r>
      <w:r w:rsidR="00DA611D">
        <w:rPr>
          <w:rFonts w:ascii="Times New Roman" w:hAnsi="Times New Roman" w:cs="Times New Roman"/>
          <w:sz w:val="24"/>
          <w:szCs w:val="24"/>
          <w:lang w:eastAsia="pl-PL" w:bidi="pl-PL"/>
        </w:rPr>
        <w:t>.</w:t>
      </w:r>
    </w:p>
    <w:p w14:paraId="093D4CDF" w14:textId="1DF73A01" w:rsidR="00DA611D" w:rsidRPr="00F602CE" w:rsidRDefault="00DA611D" w:rsidP="004212E5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2CE">
        <w:rPr>
          <w:rFonts w:ascii="Times New Roman" w:hAnsi="Times New Roman" w:cs="Times New Roman"/>
          <w:b/>
          <w:bCs/>
          <w:sz w:val="24"/>
          <w:szCs w:val="24"/>
        </w:rPr>
        <w:t>Odp.3</w:t>
      </w:r>
      <w:r w:rsidR="00A70534" w:rsidRPr="00F602CE">
        <w:rPr>
          <w:rFonts w:ascii="Times New Roman" w:hAnsi="Times New Roman" w:cs="Times New Roman"/>
          <w:b/>
          <w:bCs/>
          <w:sz w:val="24"/>
          <w:szCs w:val="24"/>
        </w:rPr>
        <w:t xml:space="preserve"> Dokładne przypisanie rysunków do poszczególnych etapów jest bardzo trudne, ponieważ niejednokrotnie na jednym arkuszu występuje więcej niż jeden etap.</w:t>
      </w:r>
    </w:p>
    <w:p w14:paraId="02BCA8D1" w14:textId="54E4FD84" w:rsidR="00A70534" w:rsidRPr="00F602CE" w:rsidRDefault="004212E5" w:rsidP="004212E5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Załączamy rysunek poglądowy z podziałem całego zakresu </w:t>
      </w:r>
      <w:r w:rsidR="00A70534" w:rsidRPr="00F602CE">
        <w:rPr>
          <w:rFonts w:ascii="Times New Roman" w:hAnsi="Times New Roman" w:cs="Times New Roman"/>
          <w:b/>
          <w:bCs/>
          <w:sz w:val="24"/>
          <w:szCs w:val="24"/>
        </w:rPr>
        <w:t xml:space="preserve">robót </w:t>
      </w:r>
      <w:r>
        <w:rPr>
          <w:rFonts w:ascii="Times New Roman" w:hAnsi="Times New Roman" w:cs="Times New Roman"/>
          <w:b/>
          <w:bCs/>
          <w:sz w:val="24"/>
          <w:szCs w:val="24"/>
        </w:rPr>
        <w:t>na cztery części</w:t>
      </w:r>
      <w:r w:rsidR="00A70534" w:rsidRPr="00F602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Każda część oznaczona jest innym kolorem. Poniżej opis umożliwiający pełną identyfikację zakresu robót dla każdej z części zamówienia.</w:t>
      </w:r>
    </w:p>
    <w:p w14:paraId="33E9E947" w14:textId="3D5802A8" w:rsidR="009D03AF" w:rsidRDefault="008C4086" w:rsidP="004212E5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408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Część I - </w:t>
      </w:r>
      <w:r w:rsidR="00165E92" w:rsidRPr="008C408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ul. Sierpecka – oczyszczalnia ścieków Karnkowo</w:t>
      </w:r>
      <w:r w:rsidR="00F602CE" w:rsidRPr="00165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248912" w14:textId="11A38379" w:rsidR="00A70534" w:rsidRPr="008C4086" w:rsidRDefault="00121CFE" w:rsidP="004212E5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408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65E92" w:rsidRPr="008C4086">
        <w:rPr>
          <w:rFonts w:ascii="Times New Roman" w:hAnsi="Times New Roman" w:cs="Times New Roman"/>
          <w:b/>
          <w:bCs/>
          <w:sz w:val="24"/>
          <w:szCs w:val="24"/>
        </w:rPr>
        <w:t>ieć</w:t>
      </w:r>
      <w:r w:rsidR="00A70534" w:rsidRPr="008C4086">
        <w:rPr>
          <w:rFonts w:ascii="Times New Roman" w:hAnsi="Times New Roman" w:cs="Times New Roman"/>
          <w:b/>
          <w:bCs/>
          <w:sz w:val="24"/>
          <w:szCs w:val="24"/>
        </w:rPr>
        <w:t xml:space="preserve"> kanalizacji sanitarnej tłocznej z </w:t>
      </w:r>
      <w:proofErr w:type="spellStart"/>
      <w:r w:rsidR="00A70534" w:rsidRPr="008C4086">
        <w:rPr>
          <w:rFonts w:ascii="Times New Roman" w:hAnsi="Times New Roman" w:cs="Times New Roman"/>
          <w:b/>
          <w:bCs/>
          <w:sz w:val="24"/>
          <w:szCs w:val="24"/>
        </w:rPr>
        <w:t>przykanalikiem</w:t>
      </w:r>
      <w:proofErr w:type="spellEnd"/>
      <w:r w:rsidRPr="008C4086">
        <w:rPr>
          <w:rFonts w:ascii="Times New Roman" w:hAnsi="Times New Roman" w:cs="Times New Roman"/>
          <w:b/>
          <w:bCs/>
          <w:sz w:val="24"/>
          <w:szCs w:val="24"/>
        </w:rPr>
        <w:t xml:space="preserve">. Sieć zaznaczona </w:t>
      </w:r>
      <w:r w:rsidR="00A70534" w:rsidRPr="008C4086">
        <w:rPr>
          <w:rFonts w:ascii="Times New Roman" w:hAnsi="Times New Roman" w:cs="Times New Roman"/>
          <w:b/>
          <w:bCs/>
          <w:sz w:val="24"/>
          <w:szCs w:val="24"/>
        </w:rPr>
        <w:t>na rysunku kolorem czerwonym</w:t>
      </w:r>
      <w:r w:rsidRPr="008C4086">
        <w:rPr>
          <w:rFonts w:ascii="Times New Roman" w:hAnsi="Times New Roman" w:cs="Times New Roman"/>
          <w:b/>
          <w:bCs/>
          <w:sz w:val="24"/>
          <w:szCs w:val="24"/>
        </w:rPr>
        <w:t xml:space="preserve"> linią przerywaną</w:t>
      </w:r>
      <w:r w:rsidR="00A70534" w:rsidRPr="008C408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E5DA1" w:rsidRPr="008C4086">
        <w:rPr>
          <w:rFonts w:ascii="Times New Roman" w:hAnsi="Times New Roman" w:cs="Times New Roman"/>
          <w:b/>
          <w:bCs/>
          <w:sz w:val="24"/>
          <w:szCs w:val="24"/>
        </w:rPr>
        <w:t>Początek sieci</w:t>
      </w:r>
      <w:r w:rsidRPr="008C4086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F602CE" w:rsidRPr="008C408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70534" w:rsidRPr="008C4086">
        <w:rPr>
          <w:rFonts w:ascii="Times New Roman" w:hAnsi="Times New Roman" w:cs="Times New Roman"/>
          <w:b/>
          <w:bCs/>
          <w:sz w:val="24"/>
          <w:szCs w:val="24"/>
        </w:rPr>
        <w:t xml:space="preserve"> tłoczni-PS2 </w:t>
      </w:r>
      <w:r w:rsidR="00F602CE" w:rsidRPr="008C40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(wykonanie tłoczni</w:t>
      </w:r>
      <w:r w:rsidR="00165E92" w:rsidRPr="008C40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PS2 nie jest elementem tej części zamówienia</w:t>
      </w:r>
      <w:r w:rsidR="00F602CE" w:rsidRPr="008C40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8E5DA1" w:rsidRPr="008C4086">
        <w:rPr>
          <w:b/>
          <w:bCs/>
        </w:rPr>
        <w:t xml:space="preserve"> </w:t>
      </w:r>
      <w:r w:rsidR="008E5DA1" w:rsidRPr="008C4086">
        <w:rPr>
          <w:rFonts w:ascii="Times New Roman" w:hAnsi="Times New Roman" w:cs="Times New Roman"/>
          <w:b/>
          <w:bCs/>
          <w:sz w:val="24"/>
          <w:szCs w:val="24"/>
        </w:rPr>
        <w:t xml:space="preserve">ulica </w:t>
      </w:r>
      <w:r w:rsidR="00047DB3" w:rsidRPr="008C4086">
        <w:rPr>
          <w:rFonts w:ascii="Times New Roman" w:hAnsi="Times New Roman" w:cs="Times New Roman"/>
          <w:b/>
          <w:bCs/>
          <w:sz w:val="24"/>
          <w:szCs w:val="24"/>
        </w:rPr>
        <w:t>Sierpecka a</w:t>
      </w:r>
      <w:r w:rsidRPr="008C4086">
        <w:rPr>
          <w:rFonts w:ascii="Times New Roman" w:hAnsi="Times New Roman" w:cs="Times New Roman"/>
          <w:b/>
          <w:bCs/>
          <w:sz w:val="24"/>
          <w:szCs w:val="24"/>
        </w:rPr>
        <w:t xml:space="preserve"> kończy na studni </w:t>
      </w:r>
      <w:r w:rsidR="00A70534" w:rsidRPr="008C4086">
        <w:rPr>
          <w:rFonts w:ascii="Times New Roman" w:hAnsi="Times New Roman" w:cs="Times New Roman"/>
          <w:b/>
          <w:bCs/>
          <w:sz w:val="24"/>
          <w:szCs w:val="24"/>
        </w:rPr>
        <w:t>S226 -</w:t>
      </w:r>
      <w:r w:rsidR="008E5DA1" w:rsidRPr="008C4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0534" w:rsidRPr="008C4086">
        <w:rPr>
          <w:rFonts w:ascii="Times New Roman" w:hAnsi="Times New Roman" w:cs="Times New Roman"/>
          <w:b/>
          <w:bCs/>
          <w:sz w:val="24"/>
          <w:szCs w:val="24"/>
        </w:rPr>
        <w:t>SR2 na terenie oczyszczalni</w:t>
      </w:r>
      <w:r w:rsidRPr="008C4086">
        <w:rPr>
          <w:rFonts w:ascii="Times New Roman" w:hAnsi="Times New Roman" w:cs="Times New Roman"/>
          <w:b/>
          <w:bCs/>
          <w:sz w:val="24"/>
          <w:szCs w:val="24"/>
        </w:rPr>
        <w:t xml:space="preserve"> ścieków w Karnkowie.</w:t>
      </w:r>
    </w:p>
    <w:p w14:paraId="349C9621" w14:textId="5531B3EA" w:rsidR="00121CFE" w:rsidRPr="008C4086" w:rsidRDefault="008C4086" w:rsidP="004212E5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C408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Część II - </w:t>
      </w:r>
      <w:r w:rsidR="00165E92" w:rsidRPr="008C408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ul. </w:t>
      </w:r>
      <w:r w:rsidR="00A70534" w:rsidRPr="008C408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Sierpecka</w:t>
      </w:r>
    </w:p>
    <w:p w14:paraId="285C3FD5" w14:textId="36F81017" w:rsidR="008E5DA1" w:rsidRPr="00F602CE" w:rsidRDefault="00121CFE" w:rsidP="004212E5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Sieć kanalizacji grawitacyjnej wraz z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przykanalikami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Sieć zaznaczona na rysunku kolorem brązowym. Początkiem sieci jest studnia </w:t>
      </w:r>
      <w:r w:rsidR="008E5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S90 (</w:t>
      </w:r>
      <w:r w:rsidR="008E5DA1" w:rsidRPr="00047DB3">
        <w:rPr>
          <w:rFonts w:ascii="Times New Roman" w:hAnsi="Times New Roman" w:cs="Times New Roman"/>
          <w:i/>
          <w:iCs/>
          <w:sz w:val="24"/>
          <w:szCs w:val="24"/>
        </w:rPr>
        <w:t>wykonanie studni w zakresie tej części</w:t>
      </w:r>
      <w:r w:rsidR="008E5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dalej w dół do studni S53 i w lewo do tłoczni PS2 której wykonanie jest w tym zakresie a następnie od wspomnianej już studni S53 do studni S198</w:t>
      </w:r>
      <w:r w:rsidR="003C56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="00047DB3" w:rsidRPr="00047DB3">
        <w:rPr>
          <w:rFonts w:ascii="Times New Roman" w:hAnsi="Times New Roman" w:cs="Times New Roman"/>
          <w:i/>
          <w:iCs/>
          <w:sz w:val="24"/>
          <w:szCs w:val="24"/>
        </w:rPr>
        <w:t xml:space="preserve">wykonanie </w:t>
      </w:r>
      <w:r w:rsidR="003C56CE" w:rsidRPr="00047DB3">
        <w:rPr>
          <w:rFonts w:ascii="Times New Roman" w:hAnsi="Times New Roman" w:cs="Times New Roman"/>
          <w:i/>
          <w:iCs/>
          <w:sz w:val="24"/>
          <w:szCs w:val="24"/>
        </w:rPr>
        <w:t>studni w zakresie tej części</w:t>
      </w:r>
      <w:r w:rsidR="003C56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8E5D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609873F" w14:textId="148C4088" w:rsidR="00A70534" w:rsidRPr="00F602CE" w:rsidRDefault="00A70534" w:rsidP="004212E5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02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90F376D" w14:textId="5D889983" w:rsidR="00047DB3" w:rsidRPr="00047DB3" w:rsidRDefault="00047DB3" w:rsidP="004212E5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47D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Część I</w:t>
      </w:r>
      <w:r w:rsidR="008C408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II</w:t>
      </w:r>
      <w:r w:rsidRPr="00047D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- </w:t>
      </w:r>
      <w:r w:rsidR="008C4086" w:rsidRPr="008C408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ul. Jastrzębska</w:t>
      </w:r>
    </w:p>
    <w:p w14:paraId="300230B2" w14:textId="2E34C250" w:rsidR="003C56CE" w:rsidRPr="00047DB3" w:rsidRDefault="003C56CE" w:rsidP="004212E5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DB3">
        <w:rPr>
          <w:rFonts w:ascii="Times New Roman" w:hAnsi="Times New Roman" w:cs="Times New Roman"/>
          <w:b/>
          <w:bCs/>
          <w:sz w:val="24"/>
          <w:szCs w:val="24"/>
        </w:rPr>
        <w:t xml:space="preserve">Sieć kanalizacji grawitacyjnej wraz z </w:t>
      </w:r>
      <w:proofErr w:type="spellStart"/>
      <w:r w:rsidRPr="00047DB3">
        <w:rPr>
          <w:rFonts w:ascii="Times New Roman" w:hAnsi="Times New Roman" w:cs="Times New Roman"/>
          <w:b/>
          <w:bCs/>
          <w:sz w:val="24"/>
          <w:szCs w:val="24"/>
        </w:rPr>
        <w:t>przykanalikami</w:t>
      </w:r>
      <w:proofErr w:type="spellEnd"/>
      <w:r w:rsidRPr="00047DB3">
        <w:rPr>
          <w:rFonts w:ascii="Times New Roman" w:hAnsi="Times New Roman" w:cs="Times New Roman"/>
          <w:b/>
          <w:bCs/>
          <w:sz w:val="24"/>
          <w:szCs w:val="24"/>
        </w:rPr>
        <w:t>. Sieć zaznaczona na rysunku kolorem zielonym. Początkiem sieci jest studnia S91-SR1 i dalej wszystkie odcinki zaznaczone kolorem zielonym. W zakresie części III jest wykonanie tłoczni PS1.</w:t>
      </w:r>
    </w:p>
    <w:p w14:paraId="60BB726B" w14:textId="19EA6B77" w:rsidR="00A70534" w:rsidRPr="00047DB3" w:rsidRDefault="00047DB3" w:rsidP="004212E5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47D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Część IV - ul. Rypińska – ul. Spacerowa</w:t>
      </w:r>
    </w:p>
    <w:p w14:paraId="3EB42AC9" w14:textId="56032CF9" w:rsidR="003C56CE" w:rsidRPr="00047DB3" w:rsidRDefault="003C56CE" w:rsidP="004212E5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DB3">
        <w:rPr>
          <w:rFonts w:ascii="Times New Roman" w:hAnsi="Times New Roman" w:cs="Times New Roman"/>
          <w:b/>
          <w:bCs/>
          <w:sz w:val="24"/>
          <w:szCs w:val="24"/>
        </w:rPr>
        <w:t xml:space="preserve">Sieć kanalizacji grawitacyjnej wraz z </w:t>
      </w:r>
      <w:proofErr w:type="spellStart"/>
      <w:r w:rsidRPr="00047DB3">
        <w:rPr>
          <w:rFonts w:ascii="Times New Roman" w:hAnsi="Times New Roman" w:cs="Times New Roman"/>
          <w:b/>
          <w:bCs/>
          <w:sz w:val="24"/>
          <w:szCs w:val="24"/>
        </w:rPr>
        <w:t>przykanalikami</w:t>
      </w:r>
      <w:proofErr w:type="spellEnd"/>
      <w:r w:rsidRPr="00047DB3">
        <w:rPr>
          <w:rFonts w:ascii="Times New Roman" w:hAnsi="Times New Roman" w:cs="Times New Roman"/>
          <w:b/>
          <w:bCs/>
          <w:sz w:val="24"/>
          <w:szCs w:val="24"/>
        </w:rPr>
        <w:t xml:space="preserve">. Sieć zaznaczona na rysunku kolorem </w:t>
      </w:r>
      <w:r w:rsidR="00362B52" w:rsidRPr="00047DB3">
        <w:rPr>
          <w:rFonts w:ascii="Times New Roman" w:hAnsi="Times New Roman" w:cs="Times New Roman"/>
          <w:b/>
          <w:bCs/>
          <w:sz w:val="24"/>
          <w:szCs w:val="24"/>
        </w:rPr>
        <w:t>niebieskim</w:t>
      </w:r>
      <w:r w:rsidRPr="00047DB3">
        <w:rPr>
          <w:rFonts w:ascii="Times New Roman" w:hAnsi="Times New Roman" w:cs="Times New Roman"/>
          <w:b/>
          <w:bCs/>
          <w:sz w:val="24"/>
          <w:szCs w:val="24"/>
        </w:rPr>
        <w:t xml:space="preserve">. Początkiem sieci jest studnia </w:t>
      </w:r>
      <w:r w:rsidR="00362B52" w:rsidRPr="00047DB3">
        <w:rPr>
          <w:rFonts w:ascii="Times New Roman" w:hAnsi="Times New Roman" w:cs="Times New Roman"/>
          <w:b/>
          <w:bCs/>
          <w:sz w:val="24"/>
          <w:szCs w:val="24"/>
        </w:rPr>
        <w:t xml:space="preserve">S91-SR1 </w:t>
      </w:r>
      <w:r w:rsidR="00362B52" w:rsidRPr="00047D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362B52" w:rsidRPr="00047DB3">
        <w:rPr>
          <w:rFonts w:ascii="Times New Roman" w:hAnsi="Times New Roman" w:cs="Times New Roman"/>
          <w:i/>
          <w:iCs/>
          <w:sz w:val="24"/>
          <w:szCs w:val="24"/>
        </w:rPr>
        <w:t>wykonanie studni jest w zakresie części III</w:t>
      </w:r>
      <w:r w:rsidR="00362B52" w:rsidRPr="00047D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362B52" w:rsidRPr="00047DB3">
        <w:rPr>
          <w:rFonts w:ascii="Times New Roman" w:hAnsi="Times New Roman" w:cs="Times New Roman"/>
          <w:b/>
          <w:bCs/>
          <w:sz w:val="24"/>
          <w:szCs w:val="24"/>
        </w:rPr>
        <w:t xml:space="preserve"> oraz studni S90 </w:t>
      </w:r>
      <w:r w:rsidR="00362B52" w:rsidRPr="00047D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362B52" w:rsidRPr="00047DB3">
        <w:rPr>
          <w:rFonts w:ascii="Times New Roman" w:hAnsi="Times New Roman" w:cs="Times New Roman"/>
          <w:i/>
          <w:iCs/>
          <w:sz w:val="24"/>
          <w:szCs w:val="24"/>
        </w:rPr>
        <w:t>wykonanie studni jest w zakresie części II</w:t>
      </w:r>
      <w:r w:rsidR="00362B52" w:rsidRPr="00047D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047DB3" w:rsidRPr="00047DB3">
        <w:rPr>
          <w:rFonts w:ascii="Times New Roman" w:hAnsi="Times New Roman" w:cs="Times New Roman"/>
          <w:b/>
          <w:bCs/>
          <w:sz w:val="24"/>
          <w:szCs w:val="24"/>
        </w:rPr>
        <w:t xml:space="preserve"> i kończy się na studni S67. Drugi odcinek rozpoczyna się od studni S198 </w:t>
      </w:r>
      <w:r w:rsidR="00047DB3" w:rsidRPr="00047D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047DB3" w:rsidRPr="00047DB3">
        <w:rPr>
          <w:rFonts w:ascii="Times New Roman" w:hAnsi="Times New Roman" w:cs="Times New Roman"/>
          <w:i/>
          <w:iCs/>
          <w:sz w:val="24"/>
          <w:szCs w:val="24"/>
        </w:rPr>
        <w:t>wykonanie w zakresie części II</w:t>
      </w:r>
      <w:r w:rsidR="00047DB3" w:rsidRPr="00047D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047DB3" w:rsidRPr="00047DB3">
        <w:rPr>
          <w:rFonts w:ascii="Times New Roman" w:hAnsi="Times New Roman" w:cs="Times New Roman"/>
          <w:b/>
          <w:bCs/>
          <w:sz w:val="24"/>
          <w:szCs w:val="24"/>
        </w:rPr>
        <w:t xml:space="preserve"> i kończy się na studni S189 plus odcinek tłoczny oznaczony kolorem zielonym</w:t>
      </w:r>
    </w:p>
    <w:p w14:paraId="579C1E0C" w14:textId="77777777" w:rsidR="003C56CE" w:rsidRDefault="003C56CE" w:rsidP="004212E5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ECB199" w14:textId="4F1FF7F8" w:rsidR="00EB2FFF" w:rsidRPr="00DA611D" w:rsidRDefault="00EB2FFF" w:rsidP="004212E5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2FFF">
        <w:rPr>
          <w:rFonts w:ascii="Times New Roman" w:hAnsi="Times New Roman" w:cs="Times New Roman"/>
          <w:kern w:val="0"/>
          <w:sz w:val="24"/>
          <w:szCs w:val="24"/>
        </w:rPr>
        <w:t>Proszę o udostępnienie przedmiarów w wersji edytowalnej (w formacie ATH).</w:t>
      </w:r>
    </w:p>
    <w:p w14:paraId="67E68AEF" w14:textId="5B6A39E3" w:rsidR="00DA611D" w:rsidRPr="00C62B5C" w:rsidRDefault="00DA611D" w:rsidP="004212E5">
      <w:p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B5C">
        <w:rPr>
          <w:rFonts w:ascii="Times New Roman" w:hAnsi="Times New Roman" w:cs="Times New Roman"/>
          <w:b/>
          <w:bCs/>
          <w:sz w:val="24"/>
          <w:szCs w:val="24"/>
        </w:rPr>
        <w:t>Odp. 4</w:t>
      </w:r>
      <w:r w:rsidR="00C62B5C" w:rsidRPr="00C62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90976970"/>
      <w:r w:rsidR="00CB65E4">
        <w:rPr>
          <w:rFonts w:ascii="Times New Roman" w:hAnsi="Times New Roman" w:cs="Times New Roman"/>
          <w:b/>
          <w:bCs/>
          <w:sz w:val="24"/>
          <w:szCs w:val="24"/>
        </w:rPr>
        <w:t>Przedmiary w wersji edytowalnej w załączeniu.</w:t>
      </w:r>
    </w:p>
    <w:bookmarkEnd w:id="0"/>
    <w:p w14:paraId="27DB26DD" w14:textId="77777777" w:rsidR="00DA611D" w:rsidRPr="00DA611D" w:rsidRDefault="00DA611D" w:rsidP="004212E5">
      <w:p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30E853C" w14:textId="712AFBA8" w:rsidR="00EB2FFF" w:rsidRPr="00EB2FFF" w:rsidRDefault="00EB2FFF" w:rsidP="004212E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B2FFF">
        <w:rPr>
          <w:rFonts w:ascii="Times New Roman" w:hAnsi="Times New Roman" w:cs="Times New Roman"/>
          <w:kern w:val="0"/>
          <w:sz w:val="24"/>
          <w:szCs w:val="24"/>
        </w:rPr>
        <w:t>Czy w związku z niedawną aktualizacją normy PN-EN 12201-1:2024-04, dla wymogu stawianego przez Zamawiającego tj. posiadania następujących testów:</w:t>
      </w:r>
    </w:p>
    <w:p w14:paraId="6DA937F0" w14:textId="0767B78E" w:rsidR="00EB2FFF" w:rsidRPr="00EB2FFF" w:rsidRDefault="00EB2FFF" w:rsidP="004212E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B2FFF">
        <w:rPr>
          <w:rFonts w:ascii="Times New Roman" w:hAnsi="Times New Roman" w:cs="Times New Roman"/>
          <w:kern w:val="0"/>
          <w:sz w:val="24"/>
          <w:szCs w:val="24"/>
        </w:rPr>
        <w:t>NOTCH-TEST – wyniki badań na propagację pęknięć wg ISO 13479 – wynik badań &gt;8760h,</w:t>
      </w:r>
    </w:p>
    <w:p w14:paraId="0FD3F22B" w14:textId="04C275FF" w:rsidR="00EB2FFF" w:rsidRPr="00EB2FFF" w:rsidRDefault="00EB2FFF" w:rsidP="004212E5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B2FFF">
        <w:rPr>
          <w:rFonts w:ascii="Times New Roman" w:hAnsi="Times New Roman" w:cs="Times New Roman"/>
          <w:kern w:val="0"/>
          <w:sz w:val="24"/>
          <w:szCs w:val="24"/>
        </w:rPr>
        <w:t xml:space="preserve">Test odporności na naciski punktowe wg. Metody dr. </w:t>
      </w:r>
      <w:proofErr w:type="spellStart"/>
      <w:r w:rsidRPr="00EB2FFF">
        <w:rPr>
          <w:rFonts w:ascii="Times New Roman" w:hAnsi="Times New Roman" w:cs="Times New Roman"/>
          <w:kern w:val="0"/>
          <w:sz w:val="24"/>
          <w:szCs w:val="24"/>
        </w:rPr>
        <w:t>Hessela</w:t>
      </w:r>
      <w:proofErr w:type="spellEnd"/>
      <w:r w:rsidRPr="00EB2FFF">
        <w:rPr>
          <w:rFonts w:ascii="Times New Roman" w:hAnsi="Times New Roman" w:cs="Times New Roman"/>
          <w:kern w:val="0"/>
          <w:sz w:val="24"/>
          <w:szCs w:val="24"/>
        </w:rPr>
        <w:t xml:space="preserve"> – wyniki badań &gt;8760h,</w:t>
      </w:r>
    </w:p>
    <w:p w14:paraId="3EFA73B8" w14:textId="39C58EB5" w:rsidR="00EB2FFF" w:rsidRPr="00EB2FFF" w:rsidRDefault="00EB2FFF" w:rsidP="004212E5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B2FFF">
        <w:rPr>
          <w:rFonts w:ascii="Times New Roman" w:hAnsi="Times New Roman" w:cs="Times New Roman"/>
          <w:kern w:val="0"/>
          <w:sz w:val="24"/>
          <w:szCs w:val="24"/>
        </w:rPr>
        <w:t>Odporność na powolną propagację pęknięć dostarczanych rur – potwierdzona świadectwem odbioru (wg PN-EN 10204) – wynik testu FNCT&gt; 8760h.</w:t>
      </w:r>
    </w:p>
    <w:p w14:paraId="1D80E83C" w14:textId="79F43925" w:rsidR="00EB2FFF" w:rsidRPr="00EB2FFF" w:rsidRDefault="00EB2FFF" w:rsidP="004212E5">
      <w:pPr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B2FFF">
        <w:rPr>
          <w:rFonts w:ascii="Times New Roman" w:hAnsi="Times New Roman" w:cs="Times New Roman"/>
          <w:kern w:val="0"/>
          <w:sz w:val="24"/>
          <w:szCs w:val="24"/>
        </w:rPr>
        <w:t>Zamawiający dopuszcza możliwość rozwiązania równoważnego, w postaci badań dla właściwości rur,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B2FFF">
        <w:rPr>
          <w:rFonts w:ascii="Times New Roman" w:hAnsi="Times New Roman" w:cs="Times New Roman"/>
          <w:kern w:val="0"/>
          <w:sz w:val="24"/>
          <w:szCs w:val="24"/>
        </w:rPr>
        <w:t>zgodnie z nową normą PN-EN 12201-1:2024-04?</w:t>
      </w:r>
    </w:p>
    <w:p w14:paraId="755A02DC" w14:textId="77777777" w:rsidR="00EB2FFF" w:rsidRPr="00EB2FFF" w:rsidRDefault="00EB2FFF" w:rsidP="004212E5">
      <w:pPr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B2FFF">
        <w:rPr>
          <w:rFonts w:ascii="Times New Roman" w:hAnsi="Times New Roman" w:cs="Times New Roman"/>
          <w:kern w:val="0"/>
          <w:sz w:val="24"/>
          <w:szCs w:val="24"/>
        </w:rPr>
        <w:t>Badania te potwierdzają dokładnie te same właściwości rur wykonanych z materiału PE100-RC:</w:t>
      </w:r>
    </w:p>
    <w:p w14:paraId="192CB38D" w14:textId="04762BC3" w:rsidR="00EB2FFF" w:rsidRPr="00EB2FFF" w:rsidRDefault="00EB2FFF" w:rsidP="004212E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B2FFF">
        <w:rPr>
          <w:rFonts w:ascii="Times New Roman" w:hAnsi="Times New Roman" w:cs="Times New Roman"/>
          <w:kern w:val="0"/>
          <w:sz w:val="24"/>
          <w:szCs w:val="24"/>
        </w:rPr>
        <w:t>Odporność na powolny wzrost pęknięć z określeniem modułu wzmocnienia dla badanej rury,</w:t>
      </w:r>
    </w:p>
    <w:p w14:paraId="62F0E4FD" w14:textId="624DB49D" w:rsidR="00EB2FFF" w:rsidRPr="00EB2FFF" w:rsidRDefault="00EB2FFF" w:rsidP="004212E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B2FFF">
        <w:rPr>
          <w:rFonts w:ascii="Times New Roman" w:hAnsi="Times New Roman" w:cs="Times New Roman"/>
          <w:kern w:val="0"/>
          <w:sz w:val="24"/>
          <w:szCs w:val="24"/>
        </w:rPr>
        <w:t>Odporność na powolny wzrost pęknięć pod obciążeniem,</w:t>
      </w:r>
    </w:p>
    <w:p w14:paraId="4E8DA3AA" w14:textId="6356EDA3" w:rsidR="00EB2FFF" w:rsidRPr="00EB2FFF" w:rsidRDefault="00EB2FFF" w:rsidP="004212E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B2FFF">
        <w:rPr>
          <w:rFonts w:ascii="Times New Roman" w:hAnsi="Times New Roman" w:cs="Times New Roman"/>
          <w:kern w:val="0"/>
          <w:sz w:val="24"/>
          <w:szCs w:val="24"/>
        </w:rPr>
        <w:t>Odporność na powolną propagację pęknięć Test karbu.</w:t>
      </w:r>
    </w:p>
    <w:p w14:paraId="2FE1361F" w14:textId="5AFEAF64" w:rsidR="00EB2FFF" w:rsidRDefault="00EB2FFF" w:rsidP="004212E5">
      <w:pPr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B2FFF">
        <w:rPr>
          <w:rFonts w:ascii="Times New Roman" w:hAnsi="Times New Roman" w:cs="Times New Roman"/>
          <w:kern w:val="0"/>
          <w:sz w:val="24"/>
          <w:szCs w:val="24"/>
        </w:rPr>
        <w:t>Norma PN-EN 12201-1:2024-04 zawiera badania, które są w pełni znormalizowane, a to pozwala na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B2FFF">
        <w:rPr>
          <w:rFonts w:ascii="Times New Roman" w:hAnsi="Times New Roman" w:cs="Times New Roman"/>
          <w:kern w:val="0"/>
          <w:sz w:val="24"/>
          <w:szCs w:val="24"/>
        </w:rPr>
        <w:t>potwierdzenie ich wiarygodną metodą w akredytowanym laboratorium. Ponadto przewagą badań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B2FFF">
        <w:rPr>
          <w:rFonts w:ascii="Times New Roman" w:hAnsi="Times New Roman" w:cs="Times New Roman"/>
          <w:kern w:val="0"/>
          <w:sz w:val="24"/>
          <w:szCs w:val="24"/>
        </w:rPr>
        <w:t>opisanych w normie PN EN 12201-2:2024 jest racjonalny czas ich wykonania umożliwiający kontrolę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B2FFF">
        <w:rPr>
          <w:rFonts w:ascii="Times New Roman" w:hAnsi="Times New Roman" w:cs="Times New Roman"/>
          <w:kern w:val="0"/>
          <w:sz w:val="24"/>
          <w:szCs w:val="24"/>
        </w:rPr>
        <w:t>faktycznych właściwości produkowanego wyrobu.</w:t>
      </w:r>
    </w:p>
    <w:p w14:paraId="7D343471" w14:textId="7E1172DE" w:rsidR="00DA611D" w:rsidRPr="00C62B5C" w:rsidRDefault="00DA611D" w:rsidP="004212E5">
      <w:pPr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62B5C">
        <w:rPr>
          <w:rFonts w:ascii="Times New Roman" w:hAnsi="Times New Roman" w:cs="Times New Roman"/>
          <w:b/>
          <w:bCs/>
          <w:kern w:val="0"/>
          <w:sz w:val="24"/>
          <w:szCs w:val="24"/>
        </w:rPr>
        <w:t>Odp. 5.</w:t>
      </w:r>
      <w:r w:rsidR="00C62B5C" w:rsidRPr="00C62B5C">
        <w:rPr>
          <w:b/>
          <w:bCs/>
        </w:rPr>
        <w:t xml:space="preserve"> </w:t>
      </w:r>
      <w:r w:rsidR="00C62B5C" w:rsidRPr="00C62B5C">
        <w:rPr>
          <w:rFonts w:ascii="Times New Roman" w:hAnsi="Times New Roman" w:cs="Times New Roman"/>
          <w:b/>
          <w:bCs/>
          <w:kern w:val="0"/>
          <w:sz w:val="24"/>
          <w:szCs w:val="24"/>
        </w:rPr>
        <w:t>Zamawiający dopuszcza rury PE 100 RC produkowane zgodnie z Normą PNEN12201-1:2024-04. Rury muszą być dwuwarstwowe nie połączone ze sobą molekularnie z materiału PE100 RC z drutem umożliwiającym detekcję. Ponadto rury oprócz przywołanej normy, muszą posiadać aktualną Krajową Ocenę Techniczną Instytutu Techniki Budowlanej.</w:t>
      </w:r>
    </w:p>
    <w:p w14:paraId="3C633A6E" w14:textId="77777777" w:rsidR="00DA611D" w:rsidRPr="00EB2FFF" w:rsidRDefault="00DA611D" w:rsidP="004212E5">
      <w:pPr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51AFC26" w14:textId="7E001AD5" w:rsidR="00EB2FFF" w:rsidRPr="00EB2FFF" w:rsidRDefault="00EB2FFF" w:rsidP="004212E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B2FFF">
        <w:rPr>
          <w:rFonts w:ascii="Times New Roman" w:hAnsi="Times New Roman" w:cs="Times New Roman"/>
          <w:kern w:val="0"/>
          <w:sz w:val="24"/>
          <w:szCs w:val="24"/>
        </w:rPr>
        <w:t>Czy Zamawiający dopuszcza do złożenia oferty na równoważne rury PE innych producentów niż wskazane w załączniku „OPIS PROJEKTU”. W wymienionym dokumencie użyto nazwy handlowej rur, która jednoznacznie wskazuje na konkretnego producenta:</w:t>
      </w:r>
    </w:p>
    <w:p w14:paraId="57481D56" w14:textId="08F0EA96" w:rsidR="00EB2FFF" w:rsidRPr="00DA611D" w:rsidRDefault="00EB2FFF" w:rsidP="004212E5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A611D">
        <w:rPr>
          <w:rFonts w:ascii="Times New Roman" w:hAnsi="Times New Roman" w:cs="Times New Roman"/>
          <w:kern w:val="0"/>
          <w:sz w:val="24"/>
          <w:szCs w:val="24"/>
        </w:rPr>
        <w:t>„Rury warstwowe HERKULES do bez wykopowych rurociągów do kanalizacji”.</w:t>
      </w:r>
    </w:p>
    <w:p w14:paraId="6ECB1FC2" w14:textId="79C87316" w:rsidR="00EB2FFF" w:rsidRDefault="00EB2FFF" w:rsidP="004212E5">
      <w:pPr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B2FFF">
        <w:rPr>
          <w:rFonts w:ascii="Times New Roman" w:hAnsi="Times New Roman" w:cs="Times New Roman"/>
          <w:kern w:val="0"/>
          <w:sz w:val="24"/>
          <w:szCs w:val="24"/>
        </w:rPr>
        <w:lastRenderedPageBreak/>
        <w:t>Pytający zakłada, że rury te podane są przykładowo i dopuszczalne będzie składanie ofert</w:t>
      </w:r>
      <w:r w:rsidR="00DA611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B2FFF">
        <w:rPr>
          <w:rFonts w:ascii="Times New Roman" w:hAnsi="Times New Roman" w:cs="Times New Roman"/>
          <w:kern w:val="0"/>
          <w:sz w:val="24"/>
          <w:szCs w:val="24"/>
        </w:rPr>
        <w:t>zawierających rury innych producentów. Powyższe pytanie wynika z faktu ograniczenia się przez</w:t>
      </w:r>
      <w:r w:rsidR="00DA611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B2FFF">
        <w:rPr>
          <w:rFonts w:ascii="Times New Roman" w:hAnsi="Times New Roman" w:cs="Times New Roman"/>
          <w:kern w:val="0"/>
          <w:sz w:val="24"/>
          <w:szCs w:val="24"/>
        </w:rPr>
        <w:t xml:space="preserve">Zamawiającego do jednego Dostawcy. Wiąże się to z naruszeniem art. 99 ust. 4 </w:t>
      </w:r>
      <w:proofErr w:type="spellStart"/>
      <w:r w:rsidRPr="00EB2FFF">
        <w:rPr>
          <w:rFonts w:ascii="Times New Roman" w:hAnsi="Times New Roman" w:cs="Times New Roman"/>
          <w:kern w:val="0"/>
          <w:sz w:val="24"/>
          <w:szCs w:val="24"/>
        </w:rPr>
        <w:t>pzp</w:t>
      </w:r>
      <w:proofErr w:type="spellEnd"/>
      <w:r w:rsidRPr="00EB2FFF">
        <w:rPr>
          <w:rFonts w:ascii="Times New Roman" w:hAnsi="Times New Roman" w:cs="Times New Roman"/>
          <w:kern w:val="0"/>
          <w:sz w:val="24"/>
          <w:szCs w:val="24"/>
        </w:rPr>
        <w:t>. Zgodnie, z którym</w:t>
      </w:r>
      <w:r w:rsidR="00DA611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B2FFF">
        <w:rPr>
          <w:rFonts w:ascii="Times New Roman" w:hAnsi="Times New Roman" w:cs="Times New Roman"/>
          <w:kern w:val="0"/>
          <w:sz w:val="24"/>
          <w:szCs w:val="24"/>
        </w:rPr>
        <w:t>„przedmiotu zamówienia nie można opisywać w sposób, który mógłby utrudniać uczciwą konkurencję,</w:t>
      </w:r>
      <w:r w:rsidR="00DA611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B2FFF">
        <w:rPr>
          <w:rFonts w:ascii="Times New Roman" w:hAnsi="Times New Roman" w:cs="Times New Roman"/>
          <w:kern w:val="0"/>
          <w:sz w:val="24"/>
          <w:szCs w:val="24"/>
        </w:rPr>
        <w:t>w szczególności przez wskazanie znaków towarowych, patentów lub pochodzenia, źródła lub</w:t>
      </w:r>
      <w:r w:rsidR="00DA611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B2FFF">
        <w:rPr>
          <w:rFonts w:ascii="Times New Roman" w:hAnsi="Times New Roman" w:cs="Times New Roman"/>
          <w:kern w:val="0"/>
          <w:sz w:val="24"/>
          <w:szCs w:val="24"/>
        </w:rPr>
        <w:t>szczególnego procesu, który charakteryzuje produkty lub usługi dostarczane przez konkretnego</w:t>
      </w:r>
      <w:r w:rsidR="00DA611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B2FFF">
        <w:rPr>
          <w:rFonts w:ascii="Times New Roman" w:hAnsi="Times New Roman" w:cs="Times New Roman"/>
          <w:kern w:val="0"/>
          <w:sz w:val="24"/>
          <w:szCs w:val="24"/>
        </w:rPr>
        <w:t>wykonawcę, jeżeli mogłoby to doprowadzić do uprzywilejowania lub wyeliminowania niektórych</w:t>
      </w:r>
      <w:r w:rsidR="00DA611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A611D">
        <w:rPr>
          <w:rFonts w:ascii="Times New Roman" w:hAnsi="Times New Roman" w:cs="Times New Roman"/>
          <w:kern w:val="0"/>
          <w:sz w:val="24"/>
          <w:szCs w:val="24"/>
        </w:rPr>
        <w:t>wykonawców lub produktów.”</w:t>
      </w:r>
    </w:p>
    <w:p w14:paraId="7A5D96E9" w14:textId="3E75731C" w:rsidR="00DA611D" w:rsidRDefault="00DA611D" w:rsidP="004212E5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62B5C">
        <w:rPr>
          <w:rFonts w:ascii="Times New Roman" w:hAnsi="Times New Roman" w:cs="Times New Roman"/>
          <w:b/>
          <w:bCs/>
          <w:kern w:val="0"/>
          <w:sz w:val="24"/>
          <w:szCs w:val="24"/>
        </w:rPr>
        <w:t>Odp. 6</w:t>
      </w:r>
      <w:r w:rsidR="00C62B5C" w:rsidRPr="00C62B5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Zamawiający dopuszcza różnych producentów, który spełniają wymagania zawarte w odpowiedzi nr </w:t>
      </w:r>
      <w:r w:rsidR="00C62B5C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="00C62B5C" w:rsidRPr="00C62B5C">
        <w:rPr>
          <w:rFonts w:ascii="Times New Roman" w:hAnsi="Times New Roman" w:cs="Times New Roman"/>
          <w:b/>
          <w:bCs/>
          <w:kern w:val="0"/>
          <w:sz w:val="24"/>
          <w:szCs w:val="24"/>
        </w:rPr>
        <w:t>. Na rynku polskim i europejskim istnieją producenci spełniający wymagania projektu.</w:t>
      </w:r>
    </w:p>
    <w:p w14:paraId="7841F7FE" w14:textId="77777777" w:rsidR="008C4086" w:rsidRDefault="008C4086" w:rsidP="004212E5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5A581EE" w14:textId="44D776B9" w:rsidR="008C4086" w:rsidRPr="008C4086" w:rsidRDefault="008C4086" w:rsidP="004212E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4086">
        <w:rPr>
          <w:rFonts w:ascii="Times New Roman" w:hAnsi="Times New Roman" w:cs="Times New Roman"/>
          <w:sz w:val="24"/>
          <w:szCs w:val="24"/>
          <w:shd w:val="clear" w:color="auto" w:fill="FFFFFF"/>
        </w:rPr>
        <w:t>Proszę o udostępnienie na stronie postępowania nakładów dla wszystkich etapów w wersji edytowalnej (</w:t>
      </w:r>
      <w:proofErr w:type="spellStart"/>
      <w:r w:rsidRPr="008C4086">
        <w:rPr>
          <w:rFonts w:ascii="Times New Roman" w:hAnsi="Times New Roman" w:cs="Times New Roman"/>
          <w:sz w:val="24"/>
          <w:szCs w:val="24"/>
          <w:shd w:val="clear" w:color="auto" w:fill="FFFFFF"/>
        </w:rPr>
        <w:t>excel</w:t>
      </w:r>
      <w:proofErr w:type="spellEnd"/>
      <w:r w:rsidRPr="008C4086">
        <w:rPr>
          <w:rFonts w:ascii="Times New Roman" w:hAnsi="Times New Roman" w:cs="Times New Roman"/>
          <w:sz w:val="24"/>
          <w:szCs w:val="24"/>
          <w:shd w:val="clear" w:color="auto" w:fill="FFFFFF"/>
        </w:rPr>
        <w:t>), co ułatwi wycenę.</w:t>
      </w:r>
    </w:p>
    <w:p w14:paraId="3193189E" w14:textId="6CE2DA51" w:rsidR="008C4086" w:rsidRPr="008C4086" w:rsidRDefault="008C4086" w:rsidP="004212E5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Odp. 7 </w:t>
      </w:r>
      <w:r w:rsidRPr="008C4086">
        <w:rPr>
          <w:rFonts w:ascii="Times New Roman" w:hAnsi="Times New Roman" w:cs="Times New Roman"/>
          <w:b/>
          <w:bCs/>
          <w:sz w:val="24"/>
          <w:szCs w:val="24"/>
        </w:rPr>
        <w:t>Zamawiający posiada przedmiary w wersji edytowalnej w formacie ATH</w:t>
      </w:r>
      <w:r>
        <w:rPr>
          <w:rFonts w:ascii="Times New Roman" w:hAnsi="Times New Roman" w:cs="Times New Roman"/>
          <w:b/>
          <w:bCs/>
          <w:sz w:val="24"/>
          <w:szCs w:val="24"/>
        </w:rPr>
        <w:t>. Przedmiary w załączeniu.</w:t>
      </w:r>
    </w:p>
    <w:sectPr w:rsidR="008C4086" w:rsidRPr="008C4086" w:rsidSect="00213801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00CF"/>
    <w:multiLevelType w:val="hybridMultilevel"/>
    <w:tmpl w:val="452AD364"/>
    <w:lvl w:ilvl="0" w:tplc="EBC8DC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542829"/>
    <w:multiLevelType w:val="hybridMultilevel"/>
    <w:tmpl w:val="BA586168"/>
    <w:lvl w:ilvl="0" w:tplc="8598B4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367FB"/>
    <w:multiLevelType w:val="hybridMultilevel"/>
    <w:tmpl w:val="F836C566"/>
    <w:lvl w:ilvl="0" w:tplc="9F96D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F4226"/>
    <w:multiLevelType w:val="hybridMultilevel"/>
    <w:tmpl w:val="A37EB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57AC1"/>
    <w:multiLevelType w:val="hybridMultilevel"/>
    <w:tmpl w:val="3AD8D5AE"/>
    <w:lvl w:ilvl="0" w:tplc="9F96D99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CD96269"/>
    <w:multiLevelType w:val="hybridMultilevel"/>
    <w:tmpl w:val="82686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71070"/>
    <w:multiLevelType w:val="hybridMultilevel"/>
    <w:tmpl w:val="A75266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E483359"/>
    <w:multiLevelType w:val="hybridMultilevel"/>
    <w:tmpl w:val="2E6A1382"/>
    <w:lvl w:ilvl="0" w:tplc="1A7C87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C4513"/>
    <w:multiLevelType w:val="hybridMultilevel"/>
    <w:tmpl w:val="6F3831E0"/>
    <w:lvl w:ilvl="0" w:tplc="9F96D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E370A"/>
    <w:multiLevelType w:val="hybridMultilevel"/>
    <w:tmpl w:val="23A82C72"/>
    <w:lvl w:ilvl="0" w:tplc="10CA62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8CE22A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761F1"/>
    <w:multiLevelType w:val="hybridMultilevel"/>
    <w:tmpl w:val="A4863278"/>
    <w:lvl w:ilvl="0" w:tplc="32461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F5FEB"/>
    <w:multiLevelType w:val="hybridMultilevel"/>
    <w:tmpl w:val="02E8F50A"/>
    <w:lvl w:ilvl="0" w:tplc="E7DA2352">
      <w:start w:val="7"/>
      <w:numFmt w:val="decimal"/>
      <w:lvlText w:val="%1."/>
      <w:lvlJc w:val="left"/>
      <w:pPr>
        <w:ind w:left="1004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930E9"/>
    <w:multiLevelType w:val="hybridMultilevel"/>
    <w:tmpl w:val="3ED01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136892">
    <w:abstractNumId w:val="2"/>
  </w:num>
  <w:num w:numId="2" w16cid:durableId="1644306869">
    <w:abstractNumId w:val="1"/>
  </w:num>
  <w:num w:numId="3" w16cid:durableId="202597266">
    <w:abstractNumId w:val="10"/>
  </w:num>
  <w:num w:numId="4" w16cid:durableId="1426270219">
    <w:abstractNumId w:val="9"/>
  </w:num>
  <w:num w:numId="5" w16cid:durableId="453059808">
    <w:abstractNumId w:val="6"/>
  </w:num>
  <w:num w:numId="6" w16cid:durableId="1550527860">
    <w:abstractNumId w:val="12"/>
  </w:num>
  <w:num w:numId="7" w16cid:durableId="907805684">
    <w:abstractNumId w:val="5"/>
  </w:num>
  <w:num w:numId="8" w16cid:durableId="2051807898">
    <w:abstractNumId w:val="4"/>
  </w:num>
  <w:num w:numId="9" w16cid:durableId="232087754">
    <w:abstractNumId w:val="0"/>
  </w:num>
  <w:num w:numId="10" w16cid:durableId="316151587">
    <w:abstractNumId w:val="7"/>
  </w:num>
  <w:num w:numId="11" w16cid:durableId="867641077">
    <w:abstractNumId w:val="3"/>
  </w:num>
  <w:num w:numId="12" w16cid:durableId="1507330153">
    <w:abstractNumId w:val="8"/>
  </w:num>
  <w:num w:numId="13" w16cid:durableId="8481783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B9"/>
    <w:rsid w:val="00047DB3"/>
    <w:rsid w:val="00095358"/>
    <w:rsid w:val="00121CFE"/>
    <w:rsid w:val="00165E92"/>
    <w:rsid w:val="001F265B"/>
    <w:rsid w:val="00213801"/>
    <w:rsid w:val="002F597B"/>
    <w:rsid w:val="00362B52"/>
    <w:rsid w:val="003C56CE"/>
    <w:rsid w:val="004212E5"/>
    <w:rsid w:val="004E103B"/>
    <w:rsid w:val="006252DB"/>
    <w:rsid w:val="007D6E8C"/>
    <w:rsid w:val="00800A11"/>
    <w:rsid w:val="008C4086"/>
    <w:rsid w:val="008E5DA1"/>
    <w:rsid w:val="009D03AF"/>
    <w:rsid w:val="00A70534"/>
    <w:rsid w:val="00C62B5C"/>
    <w:rsid w:val="00CB65E4"/>
    <w:rsid w:val="00D425E0"/>
    <w:rsid w:val="00DA5666"/>
    <w:rsid w:val="00DA611D"/>
    <w:rsid w:val="00DC3409"/>
    <w:rsid w:val="00E40CB9"/>
    <w:rsid w:val="00EB2FFF"/>
    <w:rsid w:val="00F6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F658"/>
  <w15:chartTrackingRefBased/>
  <w15:docId w15:val="{DD019AB2-75A7-4DA3-8C20-9F62BBC0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0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0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0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0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0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0C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0C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0C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0C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0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0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0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0C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0C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0C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0C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0C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0C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0C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0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0CB9"/>
    <w:pPr>
      <w:numPr>
        <w:ilvl w:val="1"/>
      </w:numPr>
      <w:spacing w:after="160"/>
      <w:ind w:left="992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0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0C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0C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0C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0C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0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0C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0C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6</cp:revision>
  <dcterms:created xsi:type="dcterms:W3CDTF">2025-02-18T17:45:00Z</dcterms:created>
  <dcterms:modified xsi:type="dcterms:W3CDTF">2025-02-20T19:58:00Z</dcterms:modified>
</cp:coreProperties>
</file>