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2556209C" w14:textId="3964FC3A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„Remont </w:t>
      </w:r>
      <w:r w:rsidR="0021579D">
        <w:rPr>
          <w:rFonts w:asciiTheme="majorHAnsi" w:hAnsiTheme="majorHAnsi"/>
          <w:color w:val="000000" w:themeColor="text1"/>
          <w:sz w:val="24"/>
          <w:szCs w:val="24"/>
        </w:rPr>
        <w:t>kominów 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budynku </w:t>
      </w:r>
      <w:r w:rsidR="00806376">
        <w:rPr>
          <w:rFonts w:asciiTheme="majorHAnsi" w:hAnsiTheme="majorHAnsi"/>
          <w:color w:val="000000" w:themeColor="text1"/>
          <w:sz w:val="24"/>
          <w:szCs w:val="24"/>
        </w:rPr>
        <w:t>nr 31 w Starej Białce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3E8A7811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0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737CFC8E" w14:textId="0C9F4FA9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przebudowanie kominów od poziomu posadzki strychu pierwszego ponad dach</w:t>
      </w:r>
      <w:r w:rsidR="00FE2679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budynku mieszkaln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ym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nr 31 w Starej Białce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1CF1BC1D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Przedmiar robót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4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zapytania.</w:t>
      </w:r>
    </w:p>
    <w:p w14:paraId="6C557BF1" w14:textId="2F062A3B" w:rsidR="00784866" w:rsidRPr="00784866" w:rsidRDefault="0078486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  <w:u w:val="single"/>
        </w:rPr>
      </w:pPr>
      <w:r w:rsidRPr="00784866">
        <w:rPr>
          <w:rFonts w:ascii="Cambria" w:hAnsi="Cambria" w:cs="Arial"/>
          <w:color w:val="000000" w:themeColor="text1"/>
          <w:sz w:val="22"/>
          <w:szCs w:val="22"/>
          <w:u w:val="single"/>
        </w:rPr>
        <w:t>UWAGA: W przewodach kominowych istnieją stalowe wkłady dymowe. W czasie rozbiórki kominów Zamawiający oceni stan wkładów, ich ewentualna wymiana zostanie zlecona odrębnym zleceniem.</w:t>
      </w:r>
      <w:r w:rsidR="009718BA" w:rsidRPr="009718BA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 </w:t>
      </w:r>
      <w:r w:rsidR="009718BA">
        <w:rPr>
          <w:rFonts w:ascii="Cambria" w:hAnsi="Cambria" w:cs="Arial"/>
          <w:color w:val="000000" w:themeColor="text1"/>
          <w:sz w:val="22"/>
          <w:szCs w:val="22"/>
          <w:u w:val="single"/>
        </w:rPr>
        <w:t>Prace te nie są objęte niniejszym zapytaniem.</w:t>
      </w:r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6C11BEDB" w14:textId="64B16FD8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do dnia 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30.0</w:t>
      </w:r>
      <w:r w:rsidR="00806376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5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lastRenderedPageBreak/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6A9EBDB6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kosztorys ofertowy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, sporządzony w oparciu o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 nr 4.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32658286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C87352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.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0</w:t>
      </w:r>
      <w:r w:rsidR="00806376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5E21B045" w14:textId="77777777" w:rsidR="006553D3" w:rsidRPr="00155812" w:rsidRDefault="006553D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40BFDA80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B2E3A0B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przedmiar prac</w:t>
      </w:r>
    </w:p>
    <w:p w14:paraId="57756DCB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0A2451D4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14.04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D55AD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3D43"/>
    <w:rsid w:val="0042571F"/>
    <w:rsid w:val="004274F6"/>
    <w:rsid w:val="004302D0"/>
    <w:rsid w:val="00430335"/>
    <w:rsid w:val="0043673C"/>
    <w:rsid w:val="004429E1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94E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4866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06376"/>
    <w:rsid w:val="0080791B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18B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BE3CA7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87352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4B00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EF7B3A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324</cp:revision>
  <cp:lastPrinted>2019-02-14T08:39:00Z</cp:lastPrinted>
  <dcterms:created xsi:type="dcterms:W3CDTF">2019-02-11T19:01:00Z</dcterms:created>
  <dcterms:modified xsi:type="dcterms:W3CDTF">2025-04-17T11:54:00Z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