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6A124" w14:textId="444DB3B4" w:rsidR="00015BA2" w:rsidRDefault="00015BA2" w:rsidP="00EC3A48">
      <w:pPr>
        <w:tabs>
          <w:tab w:val="left" w:pos="5355"/>
        </w:tabs>
        <w:spacing w:before="60" w:after="60" w:line="240" w:lineRule="auto"/>
        <w:jc w:val="right"/>
        <w:rPr>
          <w:rFonts w:ascii="Arial" w:hAnsi="Arial" w:cs="Arial"/>
        </w:rPr>
      </w:pPr>
      <w:r>
        <w:rPr>
          <w:rStyle w:val="Numerstrony1"/>
          <w:noProof/>
          <w:lang w:eastAsia="pl-PL"/>
        </w:rPr>
        <w:drawing>
          <wp:anchor distT="152400" distB="152400" distL="152400" distR="152400" simplePos="0" relativeHeight="251663360" behindDoc="0" locked="0" layoutInCell="1" allowOverlap="1" wp14:anchorId="73F3D2A9" wp14:editId="6BE5882A">
            <wp:simplePos x="0" y="0"/>
            <wp:positionH relativeFrom="margin">
              <wp:posOffset>0</wp:posOffset>
            </wp:positionH>
            <wp:positionV relativeFrom="page">
              <wp:posOffset>1287145</wp:posOffset>
            </wp:positionV>
            <wp:extent cx="5247640" cy="328295"/>
            <wp:effectExtent l="0" t="0" r="0" b="190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33262140" name="officeArt object" descr="wklejony-obrazek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wklejony-obrazek.pdf" descr="wklejony-obrazek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7640" cy="3282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2B0D0F9" w14:textId="77777777" w:rsidR="00015BA2" w:rsidRDefault="00015BA2" w:rsidP="00EC3A48">
      <w:pPr>
        <w:tabs>
          <w:tab w:val="left" w:pos="5355"/>
        </w:tabs>
        <w:spacing w:before="60" w:after="60" w:line="240" w:lineRule="auto"/>
        <w:jc w:val="right"/>
        <w:rPr>
          <w:rFonts w:ascii="Arial" w:hAnsi="Arial" w:cs="Arial"/>
        </w:rPr>
      </w:pPr>
    </w:p>
    <w:p w14:paraId="5FA5AD50" w14:textId="77777777" w:rsidR="00015BA2" w:rsidRDefault="00015BA2" w:rsidP="00EC3A48">
      <w:pPr>
        <w:tabs>
          <w:tab w:val="left" w:pos="5355"/>
        </w:tabs>
        <w:spacing w:before="60" w:after="60" w:line="240" w:lineRule="auto"/>
        <w:jc w:val="right"/>
        <w:rPr>
          <w:rFonts w:ascii="Arial" w:hAnsi="Arial" w:cs="Arial"/>
        </w:rPr>
      </w:pPr>
    </w:p>
    <w:p w14:paraId="01A0B459" w14:textId="40D7F28C" w:rsidR="00EC3A48" w:rsidRPr="0023367A" w:rsidRDefault="00015BA2" w:rsidP="00EC3A48">
      <w:pPr>
        <w:tabs>
          <w:tab w:val="left" w:pos="5355"/>
        </w:tabs>
        <w:spacing w:before="60" w:after="6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Poznań, </w:t>
      </w:r>
      <w:r w:rsidR="00EC3A48" w:rsidRPr="0023367A">
        <w:rPr>
          <w:rFonts w:ascii="Arial" w:hAnsi="Arial" w:cs="Arial"/>
        </w:rPr>
        <w:t xml:space="preserve"> dnia</w:t>
      </w:r>
      <w:r>
        <w:rPr>
          <w:rFonts w:ascii="Arial" w:hAnsi="Arial" w:cs="Arial"/>
        </w:rPr>
        <w:t xml:space="preserve"> 16.12</w:t>
      </w:r>
      <w:r w:rsidR="007146FA">
        <w:rPr>
          <w:rFonts w:ascii="Arial" w:hAnsi="Arial" w:cs="Arial"/>
        </w:rPr>
        <w:t xml:space="preserve">.2024 </w:t>
      </w:r>
      <w:r w:rsidR="00EC3A48">
        <w:rPr>
          <w:rFonts w:ascii="Arial" w:hAnsi="Arial" w:cs="Arial"/>
        </w:rPr>
        <w:t>r</w:t>
      </w:r>
      <w:r w:rsidR="00EC3A48" w:rsidRPr="0023367A">
        <w:rPr>
          <w:rFonts w:ascii="Arial" w:hAnsi="Arial" w:cs="Arial"/>
        </w:rPr>
        <w:t>.</w:t>
      </w:r>
    </w:p>
    <w:p w14:paraId="0D337B26" w14:textId="77777777" w:rsidR="00EC3A48" w:rsidRPr="0023367A" w:rsidRDefault="00EC3A48" w:rsidP="00EC3A48">
      <w:pPr>
        <w:spacing w:before="60" w:after="60" w:line="240" w:lineRule="auto"/>
        <w:rPr>
          <w:rFonts w:ascii="Arial" w:hAnsi="Arial" w:cs="Arial"/>
        </w:rPr>
      </w:pPr>
    </w:p>
    <w:p w14:paraId="0B0818DB" w14:textId="77777777" w:rsidR="00EC3A48" w:rsidRPr="0023367A" w:rsidRDefault="00EC3A48" w:rsidP="00EC3A48">
      <w:pPr>
        <w:spacing w:before="60" w:after="60" w:line="240" w:lineRule="auto"/>
        <w:rPr>
          <w:rFonts w:ascii="Arial" w:hAnsi="Arial" w:cs="Arial"/>
        </w:rPr>
      </w:pPr>
    </w:p>
    <w:p w14:paraId="50AE4371" w14:textId="75D98F63" w:rsidR="00EC3A48" w:rsidRPr="0023367A" w:rsidRDefault="00015BA2" w:rsidP="00EC3A4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015BA2">
        <w:rPr>
          <w:rFonts w:ascii="Arial" w:hAnsi="Arial" w:cs="Arial"/>
          <w:noProof/>
          <w:color w:val="auto"/>
          <w:sz w:val="22"/>
          <w:szCs w:val="22"/>
        </w:rPr>
        <w:drawing>
          <wp:inline distT="0" distB="0" distL="0" distR="0" wp14:anchorId="7F579FFA" wp14:editId="05AA6B0D">
            <wp:extent cx="1136650" cy="831850"/>
            <wp:effectExtent l="0" t="0" r="635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E18E2" w14:textId="77777777" w:rsidR="00EC3A48" w:rsidRPr="0023367A" w:rsidRDefault="00EC3A48" w:rsidP="00EC3A48">
      <w:pPr>
        <w:ind w:left="5664"/>
        <w:rPr>
          <w:rFonts w:ascii="Arial" w:hAnsi="Arial" w:cs="Arial"/>
          <w:b/>
          <w:u w:val="single"/>
        </w:rPr>
      </w:pPr>
      <w:r w:rsidRPr="0023367A">
        <w:rPr>
          <w:rFonts w:ascii="Arial" w:hAnsi="Arial" w:cs="Arial"/>
          <w:b/>
          <w:u w:val="single"/>
        </w:rPr>
        <w:t xml:space="preserve">Wykonawcy zainteresowani udziałem w postępowaniu </w:t>
      </w:r>
    </w:p>
    <w:p w14:paraId="5CED7B8E" w14:textId="77777777" w:rsidR="00EC3A48" w:rsidRPr="0023367A" w:rsidRDefault="00EC3A48" w:rsidP="00EC3A48">
      <w:pPr>
        <w:ind w:left="5664"/>
        <w:rPr>
          <w:rFonts w:ascii="Arial" w:hAnsi="Arial" w:cs="Arial"/>
        </w:rPr>
      </w:pPr>
    </w:p>
    <w:p w14:paraId="1DA9CE2E" w14:textId="77777777" w:rsidR="00EC3A48" w:rsidRDefault="00EC3A48" w:rsidP="00EC3A48">
      <w:pPr>
        <w:spacing w:line="240" w:lineRule="auto"/>
        <w:jc w:val="both"/>
        <w:rPr>
          <w:rFonts w:ascii="Arial" w:hAnsi="Arial" w:cs="Arial"/>
          <w:b/>
          <w:i/>
        </w:rPr>
      </w:pPr>
    </w:p>
    <w:p w14:paraId="351C42BD" w14:textId="1D0327E4" w:rsidR="00EC3A48" w:rsidRDefault="00EC3A48" w:rsidP="00015BA2">
      <w:pPr>
        <w:rPr>
          <w:rFonts w:ascii="Arial" w:hAnsi="Arial" w:cs="Arial"/>
          <w:b/>
          <w:i/>
        </w:rPr>
      </w:pPr>
      <w:r w:rsidRPr="00D531EA">
        <w:rPr>
          <w:rFonts w:ascii="Arial" w:hAnsi="Arial" w:cs="Arial"/>
          <w:b/>
          <w:i/>
        </w:rPr>
        <w:t xml:space="preserve">Dotyczy: postępowania pn. </w:t>
      </w:r>
      <w:r w:rsidR="00015BA2" w:rsidRPr="00015BA2">
        <w:rPr>
          <w:rFonts w:ascii="Arial" w:hAnsi="Arial" w:cs="Arial"/>
          <w:b/>
          <w:i/>
        </w:rPr>
        <w:t>„Pełnienie funkcji Inwestora zastępczego przy realizacji zadania inwestycyjnego pn.: Przebudowa budynku Estrady Poznańskiej wraz z</w:t>
      </w:r>
      <w:r w:rsidR="00015BA2">
        <w:rPr>
          <w:rFonts w:ascii="Arial" w:hAnsi="Arial" w:cs="Arial"/>
          <w:b/>
          <w:i/>
        </w:rPr>
        <w:t xml:space="preserve"> dostawą sprzętu i wyposażenia”</w:t>
      </w:r>
    </w:p>
    <w:p w14:paraId="7E9A2276" w14:textId="28E18B36" w:rsidR="00E92507" w:rsidRDefault="00E92507" w:rsidP="00015BA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Numer postępowania: </w:t>
      </w:r>
      <w:r w:rsidRPr="00E92507">
        <w:rPr>
          <w:rFonts w:ascii="Arial" w:hAnsi="Arial" w:cs="Arial"/>
          <w:b/>
          <w:i/>
        </w:rPr>
        <w:t>EP.ZP/271-10/24</w:t>
      </w:r>
    </w:p>
    <w:p w14:paraId="1D1E1346" w14:textId="77777777" w:rsidR="00015BA2" w:rsidRPr="00D531EA" w:rsidRDefault="00015BA2" w:rsidP="00015BA2">
      <w:pPr>
        <w:rPr>
          <w:rFonts w:ascii="Arial" w:hAnsi="Arial" w:cs="Arial"/>
          <w:b/>
          <w:i/>
        </w:rPr>
      </w:pPr>
    </w:p>
    <w:p w14:paraId="601A159D" w14:textId="210F7494" w:rsidR="00EC3A48" w:rsidRPr="00D531EA" w:rsidRDefault="00EC3A48" w:rsidP="00EC3A48">
      <w:pPr>
        <w:spacing w:line="240" w:lineRule="auto"/>
        <w:jc w:val="both"/>
        <w:rPr>
          <w:rFonts w:ascii="Arial" w:hAnsi="Arial" w:cs="Arial"/>
        </w:rPr>
      </w:pPr>
      <w:r w:rsidRPr="00D531EA">
        <w:rPr>
          <w:rFonts w:ascii="Arial" w:hAnsi="Arial" w:cs="Arial"/>
        </w:rPr>
        <w:t>S</w:t>
      </w:r>
      <w:r w:rsidR="00015BA2">
        <w:rPr>
          <w:rFonts w:ascii="Arial" w:hAnsi="Arial" w:cs="Arial"/>
        </w:rPr>
        <w:t>tosownie do art. 284</w:t>
      </w:r>
      <w:r w:rsidRPr="00D531EA">
        <w:rPr>
          <w:rFonts w:ascii="Arial" w:hAnsi="Arial" w:cs="Arial"/>
        </w:rPr>
        <w:t xml:space="preserve"> ust. 6 PZP Zamawiający udostępnia treść zapytań</w:t>
      </w:r>
      <w:r w:rsidR="007146FA">
        <w:rPr>
          <w:rFonts w:ascii="Arial" w:hAnsi="Arial" w:cs="Arial"/>
        </w:rPr>
        <w:t xml:space="preserve"> do treści SWZ </w:t>
      </w:r>
      <w:r w:rsidRPr="00D531EA">
        <w:rPr>
          <w:rFonts w:ascii="Arial" w:hAnsi="Arial" w:cs="Arial"/>
        </w:rPr>
        <w:t>wraz z wyjaśnieniami.</w:t>
      </w:r>
    </w:p>
    <w:p w14:paraId="6FC3CA37" w14:textId="77777777" w:rsidR="00E1262F" w:rsidRPr="00E1262F" w:rsidRDefault="00E1262F" w:rsidP="00E1262F"/>
    <w:p w14:paraId="453181E9" w14:textId="14CDDA78" w:rsidR="00E1262F" w:rsidRPr="00E1262F" w:rsidRDefault="00E1262F" w:rsidP="00E1262F">
      <w:pPr>
        <w:jc w:val="both"/>
        <w:rPr>
          <w:u w:val="single"/>
        </w:rPr>
      </w:pPr>
      <w:r w:rsidRPr="00E1262F">
        <w:rPr>
          <w:u w:val="single"/>
        </w:rPr>
        <w:t xml:space="preserve"> </w:t>
      </w:r>
      <w:r w:rsidRPr="00E1262F">
        <w:rPr>
          <w:b/>
          <w:bCs/>
          <w:u w:val="single"/>
        </w:rPr>
        <w:t>Pytanie</w:t>
      </w:r>
      <w:r w:rsidR="00EC3A48">
        <w:rPr>
          <w:b/>
          <w:bCs/>
          <w:u w:val="single"/>
        </w:rPr>
        <w:t xml:space="preserve"> nr </w:t>
      </w:r>
      <w:r w:rsidRPr="00E1262F">
        <w:rPr>
          <w:b/>
          <w:bCs/>
          <w:u w:val="single"/>
        </w:rPr>
        <w:t xml:space="preserve"> 1: </w:t>
      </w:r>
    </w:p>
    <w:p w14:paraId="775F85CA" w14:textId="77777777" w:rsidR="00015BA2" w:rsidRDefault="00015BA2" w:rsidP="00015BA2">
      <w:pPr>
        <w:jc w:val="both"/>
      </w:pPr>
      <w:r>
        <w:t>Zwracamy się do Państwa z wnioskiem o ujednolicenie warunku udziału w postępowaniu - VII. WARUNKI UDZIAŁU</w:t>
      </w:r>
    </w:p>
    <w:p w14:paraId="269C8AD3" w14:textId="77777777" w:rsidR="00015BA2" w:rsidRDefault="00015BA2" w:rsidP="00015BA2">
      <w:pPr>
        <w:jc w:val="both"/>
      </w:pPr>
      <w:r>
        <w:t>W POSTĘPOWANIU ust 4 pkt a), tj.:</w:t>
      </w:r>
    </w:p>
    <w:p w14:paraId="5E867E9E" w14:textId="77777777" w:rsidR="00015BA2" w:rsidRDefault="00015BA2" w:rsidP="00015BA2">
      <w:pPr>
        <w:jc w:val="both"/>
      </w:pPr>
      <w:r>
        <w:t>„4) zdolności technicznej lub zawodowej:</w:t>
      </w:r>
    </w:p>
    <w:p w14:paraId="7EE07458" w14:textId="0C87A022" w:rsidR="00015BA2" w:rsidRDefault="00015BA2" w:rsidP="00015BA2">
      <w:pPr>
        <w:jc w:val="both"/>
      </w:pPr>
      <w:r>
        <w:t>a) Wykonawca spełni warunek jeśli wykaże, że w okresie ostatnich 5 lat przed upływem terminu</w:t>
      </w:r>
      <w:r w:rsidR="00E92507">
        <w:t xml:space="preserve"> składania ofert, a jeśli okres </w:t>
      </w:r>
      <w:r>
        <w:t>prowadzenia działalności jest krótszy – w tym okresie, wykonał należycie, a w przypadku świadczeń powt</w:t>
      </w:r>
      <w:r w:rsidR="00E92507">
        <w:t xml:space="preserve">arzających się lub </w:t>
      </w:r>
      <w:r>
        <w:t>ciągłych również wykonuje należycie co najmniej dwie usługi polegające na pełnieniu fu</w:t>
      </w:r>
      <w:r w:rsidR="00E92507">
        <w:t xml:space="preserve">nkcji Inwestora Zastępczego lub </w:t>
      </w:r>
      <w:r>
        <w:t>Inżyniera Kontraktu nad realizacją Inwestycji przy budowie, nadbudowie lub pr</w:t>
      </w:r>
      <w:r w:rsidR="00E92507">
        <w:t xml:space="preserve">zebudowie budynków użyteczności </w:t>
      </w:r>
      <w:r>
        <w:t>publicznej, o wartości min. 10.000.000,00 zł brutto każda z nich. Zamawiający wymaga ró</w:t>
      </w:r>
      <w:r w:rsidR="00E92507">
        <w:t xml:space="preserve">wnież, aby zakres nadzorowanych </w:t>
      </w:r>
      <w:r>
        <w:t>robót w ramach każdej z usług dotyczył co najmniej robót ogólnobudowlanych, sanitarnych i</w:t>
      </w:r>
      <w:r w:rsidR="00E92507">
        <w:t xml:space="preserve"> elektrycznych. Powyższe usługi </w:t>
      </w:r>
      <w:r>
        <w:t>muszą obejmować bieżące i ostateczne rozliczenie Inwestycji.</w:t>
      </w:r>
    </w:p>
    <w:p w14:paraId="58A9E16D" w14:textId="4A4BA1A8" w:rsidR="00015BA2" w:rsidRDefault="00015BA2" w:rsidP="00015BA2">
      <w:pPr>
        <w:jc w:val="both"/>
      </w:pPr>
      <w:r>
        <w:t>Przez pełnienie funkcji Inwestora Zastępczego lub Inżyniera Kontraktu nad realizacją</w:t>
      </w:r>
      <w:r w:rsidR="00E92507">
        <w:t xml:space="preserve"> Inwestycji Zamawiający rozumie </w:t>
      </w:r>
      <w:r>
        <w:t>usługę polegającą w szczególności na reprezentowaniu Zamawiającego (Inwestora) na budowie, zapewnieniu Ki</w:t>
      </w:r>
      <w:r w:rsidR="00E92507">
        <w:t xml:space="preserve">erownika </w:t>
      </w:r>
      <w:r>
        <w:t xml:space="preserve">Zespołu Inwestora Zastępczego, specjalistę ds. akustyki, a także Inspektorów Nadzoru Inwestorskiego </w:t>
      </w:r>
      <w:r>
        <w:lastRenderedPageBreak/>
        <w:t>(Inspektora</w:t>
      </w:r>
      <w:r w:rsidR="00E92507">
        <w:t xml:space="preserve"> </w:t>
      </w:r>
      <w:r>
        <w:t>nadzoru robót budowlanych, Inspektor nadzoru robót elektrycznych, Inspektor nadzoru robót sanitarnych), (…)”</w:t>
      </w:r>
    </w:p>
    <w:p w14:paraId="6A6A0A32" w14:textId="3CBCC209" w:rsidR="00015BA2" w:rsidRDefault="00015BA2" w:rsidP="00015BA2">
      <w:pPr>
        <w:jc w:val="both"/>
      </w:pPr>
      <w:r>
        <w:t>Zwracamy się z prośbą o wykreślenie z powyższej treści „specjalisty ds. akustyki”, dost</w:t>
      </w:r>
      <w:r w:rsidR="00E92507">
        <w:t xml:space="preserve">osowując tym samym przedmiotowy </w:t>
      </w:r>
      <w:bookmarkStart w:id="0" w:name="_GoBack"/>
      <w:bookmarkEnd w:id="0"/>
      <w:r>
        <w:t>zapis do warunku SWZ zawartego w pkt 4 a).</w:t>
      </w:r>
    </w:p>
    <w:p w14:paraId="011608EB" w14:textId="77777777" w:rsidR="00015BA2" w:rsidRDefault="00015BA2" w:rsidP="00E1262F">
      <w:pPr>
        <w:jc w:val="both"/>
      </w:pPr>
    </w:p>
    <w:p w14:paraId="60E27F69" w14:textId="6C3ECE8F" w:rsidR="00656A5C" w:rsidRPr="00656A5C" w:rsidRDefault="00656A5C" w:rsidP="00E1262F">
      <w:pPr>
        <w:jc w:val="both"/>
        <w:rPr>
          <w:b/>
        </w:rPr>
      </w:pPr>
      <w:r w:rsidRPr="00656A5C">
        <w:rPr>
          <w:b/>
        </w:rPr>
        <w:t xml:space="preserve">Odpowiedz na Pytanie nr 1 </w:t>
      </w:r>
    </w:p>
    <w:p w14:paraId="6D161A19" w14:textId="1E1AA0DE" w:rsidR="00E92507" w:rsidRPr="00E92507" w:rsidRDefault="00E92507" w:rsidP="00E92507">
      <w:pPr>
        <w:rPr>
          <w:bCs/>
        </w:rPr>
      </w:pPr>
      <w:r w:rsidRPr="00E92507">
        <w:rPr>
          <w:bCs/>
        </w:rPr>
        <w:t>Zamawiający nie wyraża zgody na wykreślenie</w:t>
      </w:r>
      <w:r>
        <w:rPr>
          <w:bCs/>
        </w:rPr>
        <w:t xml:space="preserve"> treści SWZ</w:t>
      </w:r>
      <w:r w:rsidRPr="00E92507">
        <w:rPr>
          <w:bCs/>
        </w:rPr>
        <w:t>. Z uwagi na przedmiot zamówienia</w:t>
      </w:r>
      <w:r>
        <w:rPr>
          <w:bCs/>
        </w:rPr>
        <w:t xml:space="preserve">, </w:t>
      </w:r>
      <w:r w:rsidRPr="00E92507">
        <w:rPr>
          <w:bCs/>
        </w:rPr>
        <w:t xml:space="preserve"> zapewnienie specjalisty ds. akustyki na etapie r</w:t>
      </w:r>
      <w:r>
        <w:rPr>
          <w:bCs/>
        </w:rPr>
        <w:t>ealizacji umowy jest niezbędne.</w:t>
      </w:r>
    </w:p>
    <w:p w14:paraId="38784EB0" w14:textId="77777777" w:rsidR="007146FA" w:rsidRPr="00656A5C" w:rsidRDefault="007146FA" w:rsidP="00E1262F">
      <w:pPr>
        <w:jc w:val="both"/>
        <w:rPr>
          <w:bCs/>
        </w:rPr>
      </w:pPr>
    </w:p>
    <w:p w14:paraId="198E6681" w14:textId="11A2D4C3" w:rsidR="005A1E62" w:rsidRPr="005A1E62" w:rsidRDefault="005A1E62" w:rsidP="00E1262F">
      <w:pPr>
        <w:jc w:val="both"/>
        <w:rPr>
          <w:b/>
          <w:bCs/>
        </w:rPr>
      </w:pPr>
    </w:p>
    <w:sectPr w:rsidR="005A1E62" w:rsidRPr="005A1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7F338" w14:textId="77777777" w:rsidR="000609C6" w:rsidRDefault="000609C6" w:rsidP="00C10FED">
      <w:pPr>
        <w:spacing w:after="0" w:line="240" w:lineRule="auto"/>
      </w:pPr>
      <w:r>
        <w:separator/>
      </w:r>
    </w:p>
  </w:endnote>
  <w:endnote w:type="continuationSeparator" w:id="0">
    <w:p w14:paraId="670BD499" w14:textId="77777777" w:rsidR="000609C6" w:rsidRDefault="000609C6" w:rsidP="00C1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26D64" w14:textId="77777777" w:rsidR="000609C6" w:rsidRDefault="000609C6" w:rsidP="00C10FED">
      <w:pPr>
        <w:spacing w:after="0" w:line="240" w:lineRule="auto"/>
      </w:pPr>
      <w:r>
        <w:separator/>
      </w:r>
    </w:p>
  </w:footnote>
  <w:footnote w:type="continuationSeparator" w:id="0">
    <w:p w14:paraId="663EDCB3" w14:textId="77777777" w:rsidR="000609C6" w:rsidRDefault="000609C6" w:rsidP="00C10F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2F"/>
    <w:rsid w:val="00015BA2"/>
    <w:rsid w:val="000609C6"/>
    <w:rsid w:val="0011132B"/>
    <w:rsid w:val="001A150A"/>
    <w:rsid w:val="004115CC"/>
    <w:rsid w:val="00513C02"/>
    <w:rsid w:val="005A1E62"/>
    <w:rsid w:val="00656A5C"/>
    <w:rsid w:val="00683E1E"/>
    <w:rsid w:val="007146FA"/>
    <w:rsid w:val="007F6BC6"/>
    <w:rsid w:val="008D3AD9"/>
    <w:rsid w:val="00B17315"/>
    <w:rsid w:val="00C10FED"/>
    <w:rsid w:val="00DD508F"/>
    <w:rsid w:val="00E1262F"/>
    <w:rsid w:val="00E92507"/>
    <w:rsid w:val="00EC3A48"/>
    <w:rsid w:val="00EF420F"/>
    <w:rsid w:val="00F9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2E23"/>
  <w15:chartTrackingRefBased/>
  <w15:docId w15:val="{591C719B-B98B-4E6B-A9F3-2CB30F64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26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2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26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26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26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26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26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26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26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26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26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26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262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262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26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26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26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26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26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2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26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26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2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26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262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262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26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262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262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C3A48"/>
    <w:pPr>
      <w:autoSpaceDE w:val="0"/>
      <w:autoSpaceDN w:val="0"/>
      <w:adjustRightInd w:val="0"/>
      <w:spacing w:after="0" w:line="240" w:lineRule="auto"/>
    </w:pPr>
    <w:rPr>
      <w:rFonts w:ascii="Garamond" w:eastAsia="SimSun" w:hAnsi="Garamond" w:cs="Garamond"/>
      <w:color w:val="000000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0F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0F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0FED"/>
    <w:rPr>
      <w:vertAlign w:val="superscript"/>
    </w:rPr>
  </w:style>
  <w:style w:type="character" w:customStyle="1" w:styleId="Numerstrony1">
    <w:name w:val="Numer strony1"/>
    <w:rsid w:val="000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0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umoborniki77@oborniki.onmicrosoft.com</dc:creator>
  <cp:keywords/>
  <dc:description/>
  <cp:lastModifiedBy>Piotr Hedrych</cp:lastModifiedBy>
  <cp:revision>2</cp:revision>
  <dcterms:created xsi:type="dcterms:W3CDTF">2024-12-16T09:01:00Z</dcterms:created>
  <dcterms:modified xsi:type="dcterms:W3CDTF">2024-12-16T09:01:00Z</dcterms:modified>
</cp:coreProperties>
</file>