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tblInd w:w="-294" w:type="dxa"/>
        <w:tblCellMar>
          <w:left w:w="70" w:type="dxa"/>
          <w:right w:w="70" w:type="dxa"/>
        </w:tblCellMar>
        <w:tblLook w:val="04A0" w:firstRow="1" w:lastRow="0" w:firstColumn="1" w:lastColumn="0" w:noHBand="0" w:noVBand="1"/>
      </w:tblPr>
      <w:tblGrid>
        <w:gridCol w:w="9215"/>
        <w:gridCol w:w="850"/>
      </w:tblGrid>
      <w:tr w:rsidR="00B97E7A" w:rsidRPr="00B97E7A" w14:paraId="29CCCE4B" w14:textId="77777777" w:rsidTr="00B97E7A">
        <w:trPr>
          <w:trHeight w:val="390"/>
        </w:trPr>
        <w:tc>
          <w:tcPr>
            <w:tcW w:w="921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D8E058" w14:textId="77777777" w:rsidR="00B97E7A" w:rsidRPr="00B97E7A" w:rsidRDefault="00B97E7A" w:rsidP="00B97E7A">
            <w:pPr>
              <w:spacing w:after="0" w:line="240" w:lineRule="auto"/>
              <w:jc w:val="center"/>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Funkcjonalność</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4B2371AD" w14:textId="77777777" w:rsidR="00B97E7A" w:rsidRPr="00B97E7A" w:rsidRDefault="00B97E7A" w:rsidP="00B97E7A">
            <w:pPr>
              <w:spacing w:after="0" w:line="240" w:lineRule="auto"/>
              <w:jc w:val="center"/>
              <w:rPr>
                <w:rFonts w:ascii="Times New Roman" w:eastAsia="Times New Roman" w:hAnsi="Times New Roman" w:cs="Times New Roman"/>
                <w:b/>
                <w:bCs/>
                <w:color w:val="000000"/>
                <w:kern w:val="0"/>
                <w:sz w:val="28"/>
                <w:szCs w:val="28"/>
                <w:lang w:eastAsia="pl-PL"/>
                <w14:ligatures w14:val="none"/>
              </w:rPr>
            </w:pPr>
            <w:r w:rsidRPr="00B97E7A">
              <w:rPr>
                <w:rFonts w:ascii="Times New Roman" w:eastAsia="Times New Roman" w:hAnsi="Times New Roman" w:cs="Times New Roman"/>
                <w:b/>
                <w:bCs/>
                <w:color w:val="000000"/>
                <w:kern w:val="0"/>
                <w:sz w:val="28"/>
                <w:szCs w:val="28"/>
                <w:lang w:eastAsia="pl-PL"/>
                <w14:ligatures w14:val="none"/>
              </w:rPr>
              <w:t>Skala</w:t>
            </w:r>
          </w:p>
        </w:tc>
      </w:tr>
      <w:tr w:rsidR="00B97E7A" w:rsidRPr="00B97E7A" w14:paraId="79284F6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12E1EC"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 WYMAGANIA OGÓLNE</w:t>
            </w:r>
          </w:p>
        </w:tc>
        <w:tc>
          <w:tcPr>
            <w:tcW w:w="850" w:type="dxa"/>
            <w:tcBorders>
              <w:top w:val="nil"/>
              <w:left w:val="nil"/>
              <w:bottom w:val="single" w:sz="8" w:space="0" w:color="auto"/>
              <w:right w:val="single" w:sz="8" w:space="0" w:color="auto"/>
            </w:tcBorders>
            <w:shd w:val="clear" w:color="000000" w:fill="A6A6A6"/>
            <w:vAlign w:val="center"/>
            <w:hideMark/>
          </w:tcPr>
          <w:p w14:paraId="3C71E9EF"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96F89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7C5E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nadawania uprawnień dla użytkownika:</w:t>
            </w:r>
          </w:p>
        </w:tc>
        <w:tc>
          <w:tcPr>
            <w:tcW w:w="850" w:type="dxa"/>
            <w:tcBorders>
              <w:top w:val="nil"/>
              <w:left w:val="nil"/>
              <w:bottom w:val="single" w:sz="8" w:space="0" w:color="auto"/>
              <w:right w:val="single" w:sz="8" w:space="0" w:color="auto"/>
            </w:tcBorders>
            <w:shd w:val="clear" w:color="000000" w:fill="A6A6A6"/>
            <w:vAlign w:val="center"/>
            <w:hideMark/>
          </w:tcPr>
          <w:p w14:paraId="304E5DC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23186C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EEA2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tworzenia grup uprawnień,</w:t>
            </w:r>
          </w:p>
        </w:tc>
        <w:tc>
          <w:tcPr>
            <w:tcW w:w="850" w:type="dxa"/>
            <w:tcBorders>
              <w:top w:val="nil"/>
              <w:left w:val="nil"/>
              <w:bottom w:val="single" w:sz="8" w:space="0" w:color="auto"/>
              <w:right w:val="single" w:sz="8" w:space="0" w:color="auto"/>
            </w:tcBorders>
            <w:shd w:val="clear" w:color="auto" w:fill="auto"/>
            <w:vAlign w:val="center"/>
            <w:hideMark/>
          </w:tcPr>
          <w:p w14:paraId="1BD414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6472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0B68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przypisywania wielu grup uprawnień do użytkownika,</w:t>
            </w:r>
          </w:p>
        </w:tc>
        <w:tc>
          <w:tcPr>
            <w:tcW w:w="850" w:type="dxa"/>
            <w:tcBorders>
              <w:top w:val="nil"/>
              <w:left w:val="nil"/>
              <w:bottom w:val="single" w:sz="8" w:space="0" w:color="auto"/>
              <w:right w:val="single" w:sz="8" w:space="0" w:color="auto"/>
            </w:tcBorders>
            <w:shd w:val="clear" w:color="auto" w:fill="auto"/>
            <w:vAlign w:val="center"/>
            <w:hideMark/>
          </w:tcPr>
          <w:p w14:paraId="1DB45D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D7813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7D30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przypisywania do użytkownika uprawnień dodatkowych nie powiązanych z żadną grupą,</w:t>
            </w:r>
          </w:p>
        </w:tc>
        <w:tc>
          <w:tcPr>
            <w:tcW w:w="850" w:type="dxa"/>
            <w:tcBorders>
              <w:top w:val="nil"/>
              <w:left w:val="nil"/>
              <w:bottom w:val="single" w:sz="8" w:space="0" w:color="auto"/>
              <w:right w:val="single" w:sz="8" w:space="0" w:color="auto"/>
            </w:tcBorders>
            <w:shd w:val="clear" w:color="auto" w:fill="auto"/>
            <w:vAlign w:val="center"/>
            <w:hideMark/>
          </w:tcPr>
          <w:p w14:paraId="28B46D7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C6339C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84C3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wprowadzenia informacji dodatkowej podczas dodawania/usuwania uprawnienia (np. nr wniosku),</w:t>
            </w:r>
          </w:p>
        </w:tc>
        <w:tc>
          <w:tcPr>
            <w:tcW w:w="850" w:type="dxa"/>
            <w:tcBorders>
              <w:top w:val="nil"/>
              <w:left w:val="nil"/>
              <w:bottom w:val="single" w:sz="8" w:space="0" w:color="auto"/>
              <w:right w:val="single" w:sz="8" w:space="0" w:color="auto"/>
            </w:tcBorders>
            <w:shd w:val="clear" w:color="auto" w:fill="auto"/>
            <w:vAlign w:val="center"/>
            <w:hideMark/>
          </w:tcPr>
          <w:p w14:paraId="1A4AA3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0FBA981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AD9E1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Historia zmian uprawnień użytkownika,</w:t>
            </w:r>
          </w:p>
        </w:tc>
        <w:tc>
          <w:tcPr>
            <w:tcW w:w="850" w:type="dxa"/>
            <w:tcBorders>
              <w:top w:val="nil"/>
              <w:left w:val="nil"/>
              <w:bottom w:val="single" w:sz="8" w:space="0" w:color="auto"/>
              <w:right w:val="single" w:sz="8" w:space="0" w:color="auto"/>
            </w:tcBorders>
            <w:shd w:val="clear" w:color="auto" w:fill="auto"/>
            <w:vAlign w:val="center"/>
            <w:hideMark/>
          </w:tcPr>
          <w:p w14:paraId="309643F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6185FB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68EA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Historia zmian uprawnień w grupie,</w:t>
            </w:r>
          </w:p>
        </w:tc>
        <w:tc>
          <w:tcPr>
            <w:tcW w:w="850" w:type="dxa"/>
            <w:tcBorders>
              <w:top w:val="nil"/>
              <w:left w:val="nil"/>
              <w:bottom w:val="single" w:sz="8" w:space="0" w:color="auto"/>
              <w:right w:val="single" w:sz="8" w:space="0" w:color="auto"/>
            </w:tcBorders>
            <w:shd w:val="clear" w:color="auto" w:fill="auto"/>
            <w:vAlign w:val="center"/>
            <w:hideMark/>
          </w:tcPr>
          <w:p w14:paraId="480AEC4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33797A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1D31E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raportowania użytkowników przypisanych do grupy i/lub uprawnienia na wybrany dzień,</w:t>
            </w:r>
          </w:p>
        </w:tc>
        <w:tc>
          <w:tcPr>
            <w:tcW w:w="850" w:type="dxa"/>
            <w:tcBorders>
              <w:top w:val="nil"/>
              <w:left w:val="nil"/>
              <w:bottom w:val="single" w:sz="8" w:space="0" w:color="auto"/>
              <w:right w:val="single" w:sz="8" w:space="0" w:color="auto"/>
            </w:tcBorders>
            <w:shd w:val="clear" w:color="auto" w:fill="auto"/>
            <w:vAlign w:val="center"/>
            <w:hideMark/>
          </w:tcPr>
          <w:p w14:paraId="0B10EB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3B675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C095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raportowania uprawnień i/lub grup uprawnień przypisanych na wybrany dzień do użytkowników.</w:t>
            </w:r>
          </w:p>
        </w:tc>
        <w:tc>
          <w:tcPr>
            <w:tcW w:w="850" w:type="dxa"/>
            <w:tcBorders>
              <w:top w:val="nil"/>
              <w:left w:val="nil"/>
              <w:bottom w:val="single" w:sz="8" w:space="0" w:color="auto"/>
              <w:right w:val="single" w:sz="8" w:space="0" w:color="auto"/>
            </w:tcBorders>
            <w:shd w:val="clear" w:color="auto" w:fill="auto"/>
            <w:vAlign w:val="center"/>
            <w:hideMark/>
          </w:tcPr>
          <w:p w14:paraId="452B17C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019AEC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F728D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Obsługa Krajowego Systemu e-Faktur (</w:t>
            </w:r>
            <w:proofErr w:type="spellStart"/>
            <w:r w:rsidRPr="00B97E7A">
              <w:rPr>
                <w:rFonts w:ascii="Times New Roman" w:eastAsia="Times New Roman" w:hAnsi="Times New Roman" w:cs="Times New Roman"/>
                <w:kern w:val="0"/>
                <w:sz w:val="28"/>
                <w:szCs w:val="28"/>
                <w:lang w:eastAsia="pl-PL"/>
                <w14:ligatures w14:val="none"/>
              </w:rPr>
              <w:t>KSeF</w:t>
            </w:r>
            <w:proofErr w:type="spellEnd"/>
            <w:r w:rsidRPr="00B97E7A">
              <w:rPr>
                <w:rFonts w:ascii="Times New Roman" w:eastAsia="Times New Roman" w:hAnsi="Times New Roman" w:cs="Times New Roman"/>
                <w:kern w:val="0"/>
                <w:sz w:val="28"/>
                <w:szCs w:val="28"/>
                <w:lang w:eastAsia="pl-PL"/>
                <w14:ligatures w14:val="none"/>
              </w:rPr>
              <w:t>) w zakresie wysyłania oraz pobierania informacji.</w:t>
            </w:r>
          </w:p>
        </w:tc>
        <w:tc>
          <w:tcPr>
            <w:tcW w:w="850" w:type="dxa"/>
            <w:tcBorders>
              <w:top w:val="nil"/>
              <w:left w:val="nil"/>
              <w:bottom w:val="single" w:sz="8" w:space="0" w:color="auto"/>
              <w:right w:val="single" w:sz="8" w:space="0" w:color="auto"/>
            </w:tcBorders>
            <w:shd w:val="clear" w:color="auto" w:fill="auto"/>
            <w:vAlign w:val="center"/>
            <w:hideMark/>
          </w:tcPr>
          <w:p w14:paraId="6AE7F7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786BAF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5259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pracy w wielu modułach równolegle.</w:t>
            </w:r>
          </w:p>
        </w:tc>
        <w:tc>
          <w:tcPr>
            <w:tcW w:w="850" w:type="dxa"/>
            <w:tcBorders>
              <w:top w:val="nil"/>
              <w:left w:val="nil"/>
              <w:bottom w:val="single" w:sz="8" w:space="0" w:color="auto"/>
              <w:right w:val="single" w:sz="8" w:space="0" w:color="auto"/>
            </w:tcBorders>
            <w:shd w:val="clear" w:color="auto" w:fill="auto"/>
            <w:vAlign w:val="center"/>
            <w:hideMark/>
          </w:tcPr>
          <w:p w14:paraId="763EEFE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6EDFB0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C0C4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Obsługa e-Doręczeń.</w:t>
            </w:r>
          </w:p>
        </w:tc>
        <w:tc>
          <w:tcPr>
            <w:tcW w:w="850" w:type="dxa"/>
            <w:tcBorders>
              <w:top w:val="nil"/>
              <w:left w:val="nil"/>
              <w:bottom w:val="single" w:sz="8" w:space="0" w:color="auto"/>
              <w:right w:val="single" w:sz="8" w:space="0" w:color="auto"/>
            </w:tcBorders>
            <w:shd w:val="clear" w:color="auto" w:fill="auto"/>
            <w:vAlign w:val="center"/>
            <w:hideMark/>
          </w:tcPr>
          <w:p w14:paraId="1C3EF94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534A9F7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C3F4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korzystania ze skrótów klawiszowych (np. kopiuj, wklej, nowy dokument, usuń).</w:t>
            </w:r>
          </w:p>
        </w:tc>
        <w:tc>
          <w:tcPr>
            <w:tcW w:w="850" w:type="dxa"/>
            <w:tcBorders>
              <w:top w:val="nil"/>
              <w:left w:val="nil"/>
              <w:bottom w:val="single" w:sz="8" w:space="0" w:color="auto"/>
              <w:right w:val="single" w:sz="8" w:space="0" w:color="auto"/>
            </w:tcBorders>
            <w:shd w:val="clear" w:color="auto" w:fill="auto"/>
            <w:vAlign w:val="center"/>
            <w:hideMark/>
          </w:tcPr>
          <w:p w14:paraId="1275FBD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D716B8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D4CC4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Pomoc kontekstowa (F1).</w:t>
            </w:r>
          </w:p>
        </w:tc>
        <w:tc>
          <w:tcPr>
            <w:tcW w:w="850" w:type="dxa"/>
            <w:tcBorders>
              <w:top w:val="nil"/>
              <w:left w:val="nil"/>
              <w:bottom w:val="single" w:sz="8" w:space="0" w:color="auto"/>
              <w:right w:val="single" w:sz="8" w:space="0" w:color="auto"/>
            </w:tcBorders>
            <w:shd w:val="clear" w:color="auto" w:fill="auto"/>
            <w:vAlign w:val="center"/>
            <w:hideMark/>
          </w:tcPr>
          <w:p w14:paraId="2EADD2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796136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3679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Odnotowywanie na dokumentach identyfikatora osoby, która wprowadziła dokument.</w:t>
            </w:r>
          </w:p>
        </w:tc>
        <w:tc>
          <w:tcPr>
            <w:tcW w:w="850" w:type="dxa"/>
            <w:tcBorders>
              <w:top w:val="nil"/>
              <w:left w:val="nil"/>
              <w:bottom w:val="single" w:sz="8" w:space="0" w:color="auto"/>
              <w:right w:val="single" w:sz="8" w:space="0" w:color="auto"/>
            </w:tcBorders>
            <w:shd w:val="clear" w:color="auto" w:fill="auto"/>
            <w:vAlign w:val="center"/>
            <w:hideMark/>
          </w:tcPr>
          <w:p w14:paraId="3BEC697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53CD68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7434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Zapis historii zmian na dokumencie (użytkownik, data i czas zmiany).</w:t>
            </w:r>
          </w:p>
        </w:tc>
        <w:tc>
          <w:tcPr>
            <w:tcW w:w="850" w:type="dxa"/>
            <w:tcBorders>
              <w:top w:val="nil"/>
              <w:left w:val="nil"/>
              <w:bottom w:val="single" w:sz="8" w:space="0" w:color="auto"/>
              <w:right w:val="single" w:sz="8" w:space="0" w:color="auto"/>
            </w:tcBorders>
            <w:shd w:val="clear" w:color="auto" w:fill="auto"/>
            <w:vAlign w:val="center"/>
            <w:hideMark/>
          </w:tcPr>
          <w:p w14:paraId="2C16E4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71684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FE279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 Możliwość zapisywania indywidulanych ustawień dla każdego użytkownika.</w:t>
            </w:r>
          </w:p>
        </w:tc>
        <w:tc>
          <w:tcPr>
            <w:tcW w:w="850" w:type="dxa"/>
            <w:tcBorders>
              <w:top w:val="nil"/>
              <w:left w:val="nil"/>
              <w:bottom w:val="single" w:sz="8" w:space="0" w:color="auto"/>
              <w:right w:val="single" w:sz="8" w:space="0" w:color="auto"/>
            </w:tcBorders>
            <w:shd w:val="clear" w:color="auto" w:fill="auto"/>
            <w:vAlign w:val="center"/>
            <w:hideMark/>
          </w:tcPr>
          <w:p w14:paraId="7641E1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5DC1DF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B9BA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resetowania ustawień indywidualnych użytkownika do ustawień startowych zabezpieczona hasłem logowania.</w:t>
            </w:r>
          </w:p>
        </w:tc>
        <w:tc>
          <w:tcPr>
            <w:tcW w:w="850" w:type="dxa"/>
            <w:tcBorders>
              <w:top w:val="nil"/>
              <w:left w:val="nil"/>
              <w:bottom w:val="single" w:sz="8" w:space="0" w:color="auto"/>
              <w:right w:val="single" w:sz="8" w:space="0" w:color="auto"/>
            </w:tcBorders>
            <w:shd w:val="clear" w:color="auto" w:fill="auto"/>
            <w:vAlign w:val="center"/>
            <w:hideMark/>
          </w:tcPr>
          <w:p w14:paraId="1D3719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22A851A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77AF6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Przeniesienia danych historycznych z obecnego systemu.</w:t>
            </w:r>
          </w:p>
        </w:tc>
        <w:tc>
          <w:tcPr>
            <w:tcW w:w="850" w:type="dxa"/>
            <w:tcBorders>
              <w:top w:val="nil"/>
              <w:left w:val="nil"/>
              <w:bottom w:val="single" w:sz="8" w:space="0" w:color="auto"/>
              <w:right w:val="single" w:sz="8" w:space="0" w:color="auto"/>
            </w:tcBorders>
            <w:shd w:val="clear" w:color="auto" w:fill="auto"/>
            <w:vAlign w:val="center"/>
            <w:hideMark/>
          </w:tcPr>
          <w:p w14:paraId="3291E9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0C1368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5056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tworzenia własnych zestawień dostępna dla każdego okna z danymi tabelarycznymi.</w:t>
            </w:r>
          </w:p>
        </w:tc>
        <w:tc>
          <w:tcPr>
            <w:tcW w:w="850" w:type="dxa"/>
            <w:tcBorders>
              <w:top w:val="nil"/>
              <w:left w:val="nil"/>
              <w:bottom w:val="single" w:sz="8" w:space="0" w:color="auto"/>
              <w:right w:val="single" w:sz="8" w:space="0" w:color="auto"/>
            </w:tcBorders>
            <w:shd w:val="clear" w:color="auto" w:fill="auto"/>
            <w:vAlign w:val="center"/>
            <w:hideMark/>
          </w:tcPr>
          <w:p w14:paraId="5B0F30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E83FCA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5612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zaznaczania i szybkiego sumowania danych z wybranych wierszy.</w:t>
            </w:r>
          </w:p>
        </w:tc>
        <w:tc>
          <w:tcPr>
            <w:tcW w:w="850" w:type="dxa"/>
            <w:tcBorders>
              <w:top w:val="nil"/>
              <w:left w:val="nil"/>
              <w:bottom w:val="single" w:sz="8" w:space="0" w:color="auto"/>
              <w:right w:val="single" w:sz="8" w:space="0" w:color="auto"/>
            </w:tcBorders>
            <w:shd w:val="clear" w:color="auto" w:fill="auto"/>
            <w:vAlign w:val="center"/>
            <w:hideMark/>
          </w:tcPr>
          <w:p w14:paraId="640D550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0940508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80905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definiowania własnych numeratorów w systemie z określeniem "maski" numeratora i wykorzystaniem w niej np. roku, miesiąca, itp.</w:t>
            </w:r>
          </w:p>
        </w:tc>
        <w:tc>
          <w:tcPr>
            <w:tcW w:w="850" w:type="dxa"/>
            <w:tcBorders>
              <w:top w:val="nil"/>
              <w:left w:val="nil"/>
              <w:bottom w:val="single" w:sz="8" w:space="0" w:color="auto"/>
              <w:right w:val="single" w:sz="8" w:space="0" w:color="auto"/>
            </w:tcBorders>
            <w:shd w:val="clear" w:color="auto" w:fill="auto"/>
            <w:vAlign w:val="center"/>
            <w:hideMark/>
          </w:tcPr>
          <w:p w14:paraId="572D8B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DDA6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5F14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Wspólna baza kontrahentów dla wszystkich modułów.</w:t>
            </w:r>
          </w:p>
        </w:tc>
        <w:tc>
          <w:tcPr>
            <w:tcW w:w="850" w:type="dxa"/>
            <w:tcBorders>
              <w:top w:val="nil"/>
              <w:left w:val="nil"/>
              <w:bottom w:val="single" w:sz="8" w:space="0" w:color="auto"/>
              <w:right w:val="single" w:sz="8" w:space="0" w:color="auto"/>
            </w:tcBorders>
            <w:shd w:val="clear" w:color="auto" w:fill="auto"/>
            <w:vAlign w:val="center"/>
            <w:hideMark/>
          </w:tcPr>
          <w:p w14:paraId="71B3A5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59DC5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364D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tworzenia grup kontrahentów (np. dostawcy, odbiorcy, pracownicy, podmioty powiązane kapitałowo).</w:t>
            </w:r>
          </w:p>
        </w:tc>
        <w:tc>
          <w:tcPr>
            <w:tcW w:w="850" w:type="dxa"/>
            <w:tcBorders>
              <w:top w:val="nil"/>
              <w:left w:val="nil"/>
              <w:bottom w:val="single" w:sz="8" w:space="0" w:color="auto"/>
              <w:right w:val="single" w:sz="8" w:space="0" w:color="auto"/>
            </w:tcBorders>
            <w:shd w:val="clear" w:color="auto" w:fill="auto"/>
            <w:vAlign w:val="center"/>
            <w:hideMark/>
          </w:tcPr>
          <w:p w14:paraId="7351B35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D49639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67817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przypisania kontrahenta do wielu grup.</w:t>
            </w:r>
          </w:p>
        </w:tc>
        <w:tc>
          <w:tcPr>
            <w:tcW w:w="850" w:type="dxa"/>
            <w:tcBorders>
              <w:top w:val="nil"/>
              <w:left w:val="nil"/>
              <w:bottom w:val="single" w:sz="8" w:space="0" w:color="auto"/>
              <w:right w:val="single" w:sz="8" w:space="0" w:color="auto"/>
            </w:tcBorders>
            <w:shd w:val="clear" w:color="auto" w:fill="auto"/>
            <w:vAlign w:val="center"/>
            <w:hideMark/>
          </w:tcPr>
          <w:p w14:paraId="47DEE6C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D7AB3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7EBA9A"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II. KSIĘGOWOŚĆ</w:t>
            </w:r>
          </w:p>
        </w:tc>
        <w:tc>
          <w:tcPr>
            <w:tcW w:w="850" w:type="dxa"/>
            <w:tcBorders>
              <w:top w:val="nil"/>
              <w:left w:val="nil"/>
              <w:bottom w:val="single" w:sz="8" w:space="0" w:color="auto"/>
              <w:right w:val="single" w:sz="8" w:space="0" w:color="auto"/>
            </w:tcBorders>
            <w:shd w:val="clear" w:color="000000" w:fill="A6A6A6"/>
            <w:vAlign w:val="center"/>
            <w:hideMark/>
          </w:tcPr>
          <w:p w14:paraId="7FC96D80"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721EE6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3B5985"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PLAN KONT</w:t>
            </w:r>
          </w:p>
        </w:tc>
        <w:tc>
          <w:tcPr>
            <w:tcW w:w="850" w:type="dxa"/>
            <w:tcBorders>
              <w:top w:val="nil"/>
              <w:left w:val="nil"/>
              <w:bottom w:val="single" w:sz="8" w:space="0" w:color="auto"/>
              <w:right w:val="single" w:sz="8" w:space="0" w:color="auto"/>
            </w:tcBorders>
            <w:shd w:val="clear" w:color="000000" w:fill="A6A6A6"/>
            <w:vAlign w:val="center"/>
            <w:hideMark/>
          </w:tcPr>
          <w:p w14:paraId="5AE610D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5E33BD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C4233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zbudowania segmentowego planu kont; możliwość zdefiniowania 5 segmentów o łącznej długości 30 znaków.</w:t>
            </w:r>
          </w:p>
        </w:tc>
        <w:tc>
          <w:tcPr>
            <w:tcW w:w="850" w:type="dxa"/>
            <w:tcBorders>
              <w:top w:val="nil"/>
              <w:left w:val="nil"/>
              <w:bottom w:val="single" w:sz="8" w:space="0" w:color="auto"/>
              <w:right w:val="single" w:sz="8" w:space="0" w:color="auto"/>
            </w:tcBorders>
            <w:shd w:val="clear" w:color="auto" w:fill="auto"/>
            <w:vAlign w:val="center"/>
            <w:hideMark/>
          </w:tcPr>
          <w:p w14:paraId="2E87AC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C5224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7B76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ustalenia budowy konta księgowego przez Użytkownika poprzez następujące podziały:</w:t>
            </w:r>
          </w:p>
        </w:tc>
        <w:tc>
          <w:tcPr>
            <w:tcW w:w="850" w:type="dxa"/>
            <w:tcBorders>
              <w:top w:val="nil"/>
              <w:left w:val="nil"/>
              <w:bottom w:val="single" w:sz="8" w:space="0" w:color="auto"/>
              <w:right w:val="single" w:sz="8" w:space="0" w:color="auto"/>
            </w:tcBorders>
            <w:shd w:val="clear" w:color="000000" w:fill="A6A6A6"/>
            <w:vAlign w:val="center"/>
            <w:hideMark/>
          </w:tcPr>
          <w:p w14:paraId="307947D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D8D333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C1A3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2.1. typy (wynikowe, bilansowe, pozabilansowe, rozrachunkowe, </w:t>
            </w:r>
            <w:proofErr w:type="spellStart"/>
            <w:r w:rsidRPr="00B97E7A">
              <w:rPr>
                <w:rFonts w:ascii="Times New Roman" w:eastAsia="Times New Roman" w:hAnsi="Times New Roman" w:cs="Times New Roman"/>
                <w:kern w:val="0"/>
                <w:sz w:val="28"/>
                <w:szCs w:val="28"/>
                <w:lang w:eastAsia="pl-PL"/>
                <w14:ligatures w14:val="none"/>
              </w:rPr>
              <w:t>jednosaldowe</w:t>
            </w:r>
            <w:proofErr w:type="spellEnd"/>
            <w:r w:rsidRPr="00B97E7A">
              <w:rPr>
                <w:rFonts w:ascii="Times New Roman" w:eastAsia="Times New Roman" w:hAnsi="Times New Roman" w:cs="Times New Roman"/>
                <w:kern w:val="0"/>
                <w:sz w:val="28"/>
                <w:szCs w:val="28"/>
                <w:lang w:eastAsia="pl-PL"/>
                <w14:ligatures w14:val="none"/>
              </w:rPr>
              <w:t>, dwusaldowe),</w:t>
            </w:r>
          </w:p>
        </w:tc>
        <w:tc>
          <w:tcPr>
            <w:tcW w:w="850" w:type="dxa"/>
            <w:tcBorders>
              <w:top w:val="nil"/>
              <w:left w:val="nil"/>
              <w:bottom w:val="single" w:sz="8" w:space="0" w:color="auto"/>
              <w:right w:val="single" w:sz="8" w:space="0" w:color="auto"/>
            </w:tcBorders>
            <w:shd w:val="clear" w:color="auto" w:fill="auto"/>
            <w:vAlign w:val="center"/>
            <w:hideMark/>
          </w:tcPr>
          <w:p w14:paraId="3FB353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7A7B2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F36A1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zespoły kont (np. zespół 0,1 itd.),</w:t>
            </w:r>
          </w:p>
        </w:tc>
        <w:tc>
          <w:tcPr>
            <w:tcW w:w="850" w:type="dxa"/>
            <w:tcBorders>
              <w:top w:val="nil"/>
              <w:left w:val="nil"/>
              <w:bottom w:val="single" w:sz="8" w:space="0" w:color="auto"/>
              <w:right w:val="single" w:sz="8" w:space="0" w:color="auto"/>
            </w:tcBorders>
            <w:shd w:val="clear" w:color="auto" w:fill="auto"/>
            <w:vAlign w:val="center"/>
            <w:hideMark/>
          </w:tcPr>
          <w:p w14:paraId="713A311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9F165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D25B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definiowane przez użytkownika słowniki z możliwością przypisywania ich do wybranych segmentów kont.</w:t>
            </w:r>
          </w:p>
        </w:tc>
        <w:tc>
          <w:tcPr>
            <w:tcW w:w="850" w:type="dxa"/>
            <w:tcBorders>
              <w:top w:val="nil"/>
              <w:left w:val="nil"/>
              <w:bottom w:val="single" w:sz="8" w:space="0" w:color="auto"/>
              <w:right w:val="single" w:sz="8" w:space="0" w:color="auto"/>
            </w:tcBorders>
            <w:shd w:val="clear" w:color="auto" w:fill="auto"/>
            <w:vAlign w:val="center"/>
            <w:hideMark/>
          </w:tcPr>
          <w:p w14:paraId="021E9D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6505F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12A2E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3. </w:t>
            </w:r>
            <w:proofErr w:type="spellStart"/>
            <w:r w:rsidRPr="00B97E7A">
              <w:rPr>
                <w:rFonts w:ascii="Times New Roman" w:eastAsia="Times New Roman" w:hAnsi="Times New Roman" w:cs="Times New Roman"/>
                <w:kern w:val="0"/>
                <w:sz w:val="28"/>
                <w:szCs w:val="28"/>
                <w:lang w:eastAsia="pl-PL"/>
                <w14:ligatures w14:val="none"/>
              </w:rPr>
              <w:t>Wielowalutowość</w:t>
            </w:r>
            <w:proofErr w:type="spellEnd"/>
            <w:r w:rsidRPr="00B97E7A">
              <w:rPr>
                <w:rFonts w:ascii="Times New Roman" w:eastAsia="Times New Roman" w:hAnsi="Times New Roman" w:cs="Times New Roman"/>
                <w:kern w:val="0"/>
                <w:sz w:val="28"/>
                <w:szCs w:val="28"/>
                <w:lang w:eastAsia="pl-PL"/>
                <w14:ligatures w14:val="none"/>
              </w:rPr>
              <w:t xml:space="preserve"> kont księgowych.</w:t>
            </w:r>
          </w:p>
        </w:tc>
        <w:tc>
          <w:tcPr>
            <w:tcW w:w="850" w:type="dxa"/>
            <w:tcBorders>
              <w:top w:val="nil"/>
              <w:left w:val="nil"/>
              <w:bottom w:val="single" w:sz="8" w:space="0" w:color="auto"/>
              <w:right w:val="single" w:sz="8" w:space="0" w:color="auto"/>
            </w:tcBorders>
            <w:shd w:val="clear" w:color="auto" w:fill="auto"/>
            <w:vAlign w:val="center"/>
            <w:hideMark/>
          </w:tcPr>
          <w:p w14:paraId="5A3B5CD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C22CB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A36D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Blokada podwójnego założenia konta.</w:t>
            </w:r>
          </w:p>
        </w:tc>
        <w:tc>
          <w:tcPr>
            <w:tcW w:w="850" w:type="dxa"/>
            <w:tcBorders>
              <w:top w:val="nil"/>
              <w:left w:val="nil"/>
              <w:bottom w:val="single" w:sz="8" w:space="0" w:color="auto"/>
              <w:right w:val="single" w:sz="8" w:space="0" w:color="auto"/>
            </w:tcBorders>
            <w:shd w:val="clear" w:color="auto" w:fill="auto"/>
            <w:vAlign w:val="center"/>
            <w:hideMark/>
          </w:tcPr>
          <w:p w14:paraId="60B1DE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053D9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39998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 Możliwość modyfikacji kont księgowych oraz możliwość utworzenia nowego konta syntetycznego i analitycznego.</w:t>
            </w:r>
          </w:p>
        </w:tc>
        <w:tc>
          <w:tcPr>
            <w:tcW w:w="850" w:type="dxa"/>
            <w:tcBorders>
              <w:top w:val="nil"/>
              <w:left w:val="nil"/>
              <w:bottom w:val="single" w:sz="8" w:space="0" w:color="auto"/>
              <w:right w:val="single" w:sz="8" w:space="0" w:color="auto"/>
            </w:tcBorders>
            <w:shd w:val="clear" w:color="auto" w:fill="auto"/>
            <w:vAlign w:val="center"/>
            <w:hideMark/>
          </w:tcPr>
          <w:p w14:paraId="52C2D8D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BC0BEB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18BE5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kasowania kont księgowych (analitycznych i syntetycznych), na których nie ma obrotów.</w:t>
            </w:r>
          </w:p>
        </w:tc>
        <w:tc>
          <w:tcPr>
            <w:tcW w:w="850" w:type="dxa"/>
            <w:tcBorders>
              <w:top w:val="nil"/>
              <w:left w:val="nil"/>
              <w:bottom w:val="single" w:sz="8" w:space="0" w:color="auto"/>
              <w:right w:val="single" w:sz="8" w:space="0" w:color="auto"/>
            </w:tcBorders>
            <w:shd w:val="clear" w:color="auto" w:fill="auto"/>
            <w:vAlign w:val="center"/>
            <w:hideMark/>
          </w:tcPr>
          <w:p w14:paraId="7C4C07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D9AD6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6106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blokowania kont dla dalszych zapisów księgowych.</w:t>
            </w:r>
          </w:p>
        </w:tc>
        <w:tc>
          <w:tcPr>
            <w:tcW w:w="850" w:type="dxa"/>
            <w:tcBorders>
              <w:top w:val="nil"/>
              <w:left w:val="nil"/>
              <w:bottom w:val="single" w:sz="8" w:space="0" w:color="auto"/>
              <w:right w:val="single" w:sz="8" w:space="0" w:color="auto"/>
            </w:tcBorders>
            <w:shd w:val="clear" w:color="auto" w:fill="auto"/>
            <w:vAlign w:val="center"/>
            <w:hideMark/>
          </w:tcPr>
          <w:p w14:paraId="313CF0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1FBA6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DD2B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przypisania do konta słownika kontroli projektów/zleceń.</w:t>
            </w:r>
          </w:p>
        </w:tc>
        <w:tc>
          <w:tcPr>
            <w:tcW w:w="850" w:type="dxa"/>
            <w:tcBorders>
              <w:top w:val="nil"/>
              <w:left w:val="nil"/>
              <w:bottom w:val="single" w:sz="8" w:space="0" w:color="auto"/>
              <w:right w:val="single" w:sz="8" w:space="0" w:color="auto"/>
            </w:tcBorders>
            <w:shd w:val="clear" w:color="auto" w:fill="auto"/>
            <w:vAlign w:val="center"/>
            <w:hideMark/>
          </w:tcPr>
          <w:p w14:paraId="05E6D9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80DD0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3DEB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Automatyczne generowanie Bilansu Otwarcia na kontach z Bilansu Zamknięcia roku poprzedniego z możliwością zdefiniowania przekształceń dla planu kont na przełomie roku.</w:t>
            </w:r>
          </w:p>
        </w:tc>
        <w:tc>
          <w:tcPr>
            <w:tcW w:w="850" w:type="dxa"/>
            <w:tcBorders>
              <w:top w:val="nil"/>
              <w:left w:val="nil"/>
              <w:bottom w:val="single" w:sz="8" w:space="0" w:color="auto"/>
              <w:right w:val="single" w:sz="8" w:space="0" w:color="auto"/>
            </w:tcBorders>
            <w:shd w:val="clear" w:color="auto" w:fill="auto"/>
            <w:vAlign w:val="center"/>
            <w:hideMark/>
          </w:tcPr>
          <w:p w14:paraId="728E41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B536CF"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AC1C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automatycznego tworzenie zakładowego planu kont na kolejny rok obrotowy, na bazie bieżącego planu kont, z możliwością dodawania nowych kont lub zespołów kont i możliwością ich wyłączania lub usuwania/dezaktywacji oraz możliwością edycji poszczególnych pozycji.</w:t>
            </w:r>
          </w:p>
        </w:tc>
        <w:tc>
          <w:tcPr>
            <w:tcW w:w="850" w:type="dxa"/>
            <w:tcBorders>
              <w:top w:val="nil"/>
              <w:left w:val="nil"/>
              <w:bottom w:val="single" w:sz="8" w:space="0" w:color="auto"/>
              <w:right w:val="single" w:sz="8" w:space="0" w:color="auto"/>
            </w:tcBorders>
            <w:shd w:val="clear" w:color="auto" w:fill="auto"/>
            <w:vAlign w:val="center"/>
            <w:hideMark/>
          </w:tcPr>
          <w:p w14:paraId="6DC2B56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62F4C9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0484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założenia nowego konta w momencie tworzenia w systemie dokumentu PK.</w:t>
            </w:r>
          </w:p>
        </w:tc>
        <w:tc>
          <w:tcPr>
            <w:tcW w:w="850" w:type="dxa"/>
            <w:tcBorders>
              <w:top w:val="nil"/>
              <w:left w:val="nil"/>
              <w:bottom w:val="single" w:sz="8" w:space="0" w:color="auto"/>
              <w:right w:val="single" w:sz="8" w:space="0" w:color="auto"/>
            </w:tcBorders>
            <w:shd w:val="clear" w:color="auto" w:fill="auto"/>
            <w:vAlign w:val="center"/>
            <w:hideMark/>
          </w:tcPr>
          <w:p w14:paraId="4862ED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DC43D7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997F5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korzystania z archiwum księgowego - zapisów księgowych dowolnego zamkniętego roku obrotowego (przeglądanie, sporządzanie wydruków).</w:t>
            </w:r>
          </w:p>
        </w:tc>
        <w:tc>
          <w:tcPr>
            <w:tcW w:w="850" w:type="dxa"/>
            <w:tcBorders>
              <w:top w:val="nil"/>
              <w:left w:val="nil"/>
              <w:bottom w:val="single" w:sz="8" w:space="0" w:color="auto"/>
              <w:right w:val="single" w:sz="8" w:space="0" w:color="auto"/>
            </w:tcBorders>
            <w:shd w:val="clear" w:color="auto" w:fill="auto"/>
            <w:vAlign w:val="center"/>
            <w:hideMark/>
          </w:tcPr>
          <w:p w14:paraId="2EB7019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C1C0C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77E3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prowadzenia kont pozabilansowych, bez obowiązku zachowania zasady podwójnego księgowania.</w:t>
            </w:r>
          </w:p>
        </w:tc>
        <w:tc>
          <w:tcPr>
            <w:tcW w:w="850" w:type="dxa"/>
            <w:tcBorders>
              <w:top w:val="nil"/>
              <w:left w:val="nil"/>
              <w:bottom w:val="single" w:sz="8" w:space="0" w:color="auto"/>
              <w:right w:val="single" w:sz="8" w:space="0" w:color="auto"/>
            </w:tcBorders>
            <w:shd w:val="clear" w:color="auto" w:fill="auto"/>
            <w:vAlign w:val="center"/>
            <w:hideMark/>
          </w:tcPr>
          <w:p w14:paraId="0E5F0E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5F8DAB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0DA7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Plan kont (przychodów i kosztów) uwzględniający podział na grupy taryfowe, opłaty stałe i zmienne itp.</w:t>
            </w:r>
          </w:p>
        </w:tc>
        <w:tc>
          <w:tcPr>
            <w:tcW w:w="850" w:type="dxa"/>
            <w:tcBorders>
              <w:top w:val="nil"/>
              <w:left w:val="nil"/>
              <w:bottom w:val="single" w:sz="8" w:space="0" w:color="auto"/>
              <w:right w:val="single" w:sz="8" w:space="0" w:color="auto"/>
            </w:tcBorders>
            <w:shd w:val="clear" w:color="auto" w:fill="auto"/>
            <w:vAlign w:val="center"/>
            <w:hideMark/>
          </w:tcPr>
          <w:p w14:paraId="61E47F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66B3C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EAF30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DEKRETACJA</w:t>
            </w:r>
          </w:p>
        </w:tc>
        <w:tc>
          <w:tcPr>
            <w:tcW w:w="850" w:type="dxa"/>
            <w:tcBorders>
              <w:top w:val="nil"/>
              <w:left w:val="nil"/>
              <w:bottom w:val="single" w:sz="8" w:space="0" w:color="auto"/>
              <w:right w:val="single" w:sz="8" w:space="0" w:color="auto"/>
            </w:tcBorders>
            <w:shd w:val="clear" w:color="000000" w:fill="A6A6A6"/>
            <w:vAlign w:val="center"/>
            <w:hideMark/>
          </w:tcPr>
          <w:p w14:paraId="7E79F9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95C72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0B4C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Definiowalny rok obrachunkowy.</w:t>
            </w:r>
          </w:p>
        </w:tc>
        <w:tc>
          <w:tcPr>
            <w:tcW w:w="850" w:type="dxa"/>
            <w:tcBorders>
              <w:top w:val="nil"/>
              <w:left w:val="nil"/>
              <w:bottom w:val="single" w:sz="8" w:space="0" w:color="auto"/>
              <w:right w:val="single" w:sz="8" w:space="0" w:color="auto"/>
            </w:tcBorders>
            <w:shd w:val="clear" w:color="auto" w:fill="auto"/>
            <w:vAlign w:val="center"/>
            <w:hideMark/>
          </w:tcPr>
          <w:p w14:paraId="5787A1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B643B7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93B5E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równoczesnej pracy na co najmniej 2 otwartych miesiącach księgowych: bieżącym i następnym.</w:t>
            </w:r>
          </w:p>
        </w:tc>
        <w:tc>
          <w:tcPr>
            <w:tcW w:w="850" w:type="dxa"/>
            <w:tcBorders>
              <w:top w:val="nil"/>
              <w:left w:val="nil"/>
              <w:bottom w:val="single" w:sz="8" w:space="0" w:color="auto"/>
              <w:right w:val="single" w:sz="8" w:space="0" w:color="auto"/>
            </w:tcBorders>
            <w:shd w:val="clear" w:color="auto" w:fill="auto"/>
            <w:vAlign w:val="center"/>
            <w:hideMark/>
          </w:tcPr>
          <w:p w14:paraId="4FB55A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F4013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4A53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zamykania miesięcy księgowych poprzez podokresy (Korekta Bilansu Otwarcia, dotyczy głównie księgowania do grudnia).</w:t>
            </w:r>
          </w:p>
        </w:tc>
        <w:tc>
          <w:tcPr>
            <w:tcW w:w="850" w:type="dxa"/>
            <w:tcBorders>
              <w:top w:val="nil"/>
              <w:left w:val="nil"/>
              <w:bottom w:val="single" w:sz="8" w:space="0" w:color="auto"/>
              <w:right w:val="single" w:sz="8" w:space="0" w:color="auto"/>
            </w:tcBorders>
            <w:shd w:val="clear" w:color="auto" w:fill="auto"/>
            <w:vAlign w:val="center"/>
            <w:hideMark/>
          </w:tcPr>
          <w:p w14:paraId="71694E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78C4A8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E0BBC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Automatycznie przygotowywane dekrety na konta "4" i 490 przy dekretowaniu na konta "5".</w:t>
            </w:r>
          </w:p>
        </w:tc>
        <w:tc>
          <w:tcPr>
            <w:tcW w:w="850" w:type="dxa"/>
            <w:tcBorders>
              <w:top w:val="nil"/>
              <w:left w:val="nil"/>
              <w:bottom w:val="single" w:sz="8" w:space="0" w:color="auto"/>
              <w:right w:val="single" w:sz="8" w:space="0" w:color="auto"/>
            </w:tcBorders>
            <w:shd w:val="clear" w:color="auto" w:fill="auto"/>
            <w:vAlign w:val="center"/>
            <w:hideMark/>
          </w:tcPr>
          <w:p w14:paraId="0E91B9A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EB06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15125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modyfikacji i kasowania dokumentów PK przed zaksięgowaniem.</w:t>
            </w:r>
          </w:p>
        </w:tc>
        <w:tc>
          <w:tcPr>
            <w:tcW w:w="850" w:type="dxa"/>
            <w:tcBorders>
              <w:top w:val="nil"/>
              <w:left w:val="nil"/>
              <w:bottom w:val="single" w:sz="8" w:space="0" w:color="auto"/>
              <w:right w:val="single" w:sz="8" w:space="0" w:color="auto"/>
            </w:tcBorders>
            <w:shd w:val="clear" w:color="auto" w:fill="auto"/>
            <w:vAlign w:val="center"/>
            <w:hideMark/>
          </w:tcPr>
          <w:p w14:paraId="3F6D44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3E82F4B"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6CCD1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Kontrola PK np. pod kątem bilansowania się obrotów czarnych i czerwonych, kontrolowanie na bieżąco poprawności wprowadzonych dekretów i wykonanych księgowań przez kontrolę bilansowania się pozycji i dokumentu oraz zgodności kont przeciwstawnych, oraz wskazanie braku projektów/zleceń do wszystkich kont zawierających projekt/zlecenie.</w:t>
            </w:r>
          </w:p>
        </w:tc>
        <w:tc>
          <w:tcPr>
            <w:tcW w:w="850" w:type="dxa"/>
            <w:tcBorders>
              <w:top w:val="nil"/>
              <w:left w:val="nil"/>
              <w:bottom w:val="single" w:sz="8" w:space="0" w:color="auto"/>
              <w:right w:val="single" w:sz="8" w:space="0" w:color="auto"/>
            </w:tcBorders>
            <w:shd w:val="clear" w:color="auto" w:fill="auto"/>
            <w:vAlign w:val="center"/>
            <w:hideMark/>
          </w:tcPr>
          <w:p w14:paraId="1504601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64185B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6B4C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wydruku symulacji niezaksięgowanych PK.</w:t>
            </w:r>
          </w:p>
        </w:tc>
        <w:tc>
          <w:tcPr>
            <w:tcW w:w="850" w:type="dxa"/>
            <w:tcBorders>
              <w:top w:val="nil"/>
              <w:left w:val="nil"/>
              <w:bottom w:val="single" w:sz="8" w:space="0" w:color="auto"/>
              <w:right w:val="single" w:sz="8" w:space="0" w:color="auto"/>
            </w:tcBorders>
            <w:shd w:val="clear" w:color="auto" w:fill="auto"/>
            <w:vAlign w:val="center"/>
            <w:hideMark/>
          </w:tcPr>
          <w:p w14:paraId="786784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A2163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B4AB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stornowania zaksięgowanych dokumentów PK.</w:t>
            </w:r>
          </w:p>
        </w:tc>
        <w:tc>
          <w:tcPr>
            <w:tcW w:w="850" w:type="dxa"/>
            <w:tcBorders>
              <w:top w:val="nil"/>
              <w:left w:val="nil"/>
              <w:bottom w:val="single" w:sz="8" w:space="0" w:color="auto"/>
              <w:right w:val="single" w:sz="8" w:space="0" w:color="auto"/>
            </w:tcBorders>
            <w:shd w:val="clear" w:color="auto" w:fill="auto"/>
            <w:vAlign w:val="center"/>
            <w:hideMark/>
          </w:tcPr>
          <w:p w14:paraId="502A19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AF22F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E0AC0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kopiowania zaksięgowanych dokumentów PK z dziennika oraz wprowadzania zmian w utworzonych w ten sposób dokumentach.</w:t>
            </w:r>
          </w:p>
        </w:tc>
        <w:tc>
          <w:tcPr>
            <w:tcW w:w="850" w:type="dxa"/>
            <w:tcBorders>
              <w:top w:val="nil"/>
              <w:left w:val="nil"/>
              <w:bottom w:val="single" w:sz="8" w:space="0" w:color="auto"/>
              <w:right w:val="single" w:sz="8" w:space="0" w:color="auto"/>
            </w:tcBorders>
            <w:shd w:val="clear" w:color="auto" w:fill="auto"/>
            <w:vAlign w:val="center"/>
            <w:hideMark/>
          </w:tcPr>
          <w:p w14:paraId="5F337F7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C6F59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DC88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przeglądania niezaksięgowanych dokumentów.</w:t>
            </w:r>
          </w:p>
        </w:tc>
        <w:tc>
          <w:tcPr>
            <w:tcW w:w="850" w:type="dxa"/>
            <w:tcBorders>
              <w:top w:val="nil"/>
              <w:left w:val="nil"/>
              <w:bottom w:val="single" w:sz="8" w:space="0" w:color="auto"/>
              <w:right w:val="single" w:sz="8" w:space="0" w:color="auto"/>
            </w:tcBorders>
            <w:shd w:val="clear" w:color="auto" w:fill="auto"/>
            <w:vAlign w:val="center"/>
            <w:hideMark/>
          </w:tcPr>
          <w:p w14:paraId="39777B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43E27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C878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Eksport dowolnych danych ze zdefiniowanych wstępnie lub zdefiniowanych przez użytkownika raportów/zestawień do innych aplikacji (MS Excel, MS Word).</w:t>
            </w:r>
          </w:p>
        </w:tc>
        <w:tc>
          <w:tcPr>
            <w:tcW w:w="850" w:type="dxa"/>
            <w:tcBorders>
              <w:top w:val="nil"/>
              <w:left w:val="nil"/>
              <w:bottom w:val="single" w:sz="8" w:space="0" w:color="auto"/>
              <w:right w:val="single" w:sz="8" w:space="0" w:color="auto"/>
            </w:tcBorders>
            <w:shd w:val="clear" w:color="auto" w:fill="auto"/>
            <w:vAlign w:val="center"/>
            <w:hideMark/>
          </w:tcPr>
          <w:p w14:paraId="33BFB3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35B0EA"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52ED2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Szablon dokumentów PK - oprogramowanie użytkowe musi zapewniać możliwość tworzenia wzorców księgowań (schematów księgowań, automatów księgowych); możliwość zdefiniowania dowolnych algorytmów księgowania dla każdej grupy dokumentów w ramach każdego rodzaju dokumentów, z możliwością prowadzenia zapisów:</w:t>
            </w:r>
          </w:p>
        </w:tc>
        <w:tc>
          <w:tcPr>
            <w:tcW w:w="850" w:type="dxa"/>
            <w:tcBorders>
              <w:top w:val="nil"/>
              <w:left w:val="nil"/>
              <w:bottom w:val="single" w:sz="8" w:space="0" w:color="auto"/>
              <w:right w:val="single" w:sz="8" w:space="0" w:color="auto"/>
            </w:tcBorders>
            <w:shd w:val="clear" w:color="000000" w:fill="A6A6A6"/>
            <w:vAlign w:val="center"/>
            <w:hideMark/>
          </w:tcPr>
          <w:p w14:paraId="0F60E4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969404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D0B5D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 zapis na jednej stronie generuje szereg zapisów na stronie drugiej,</w:t>
            </w:r>
          </w:p>
        </w:tc>
        <w:tc>
          <w:tcPr>
            <w:tcW w:w="850" w:type="dxa"/>
            <w:tcBorders>
              <w:top w:val="nil"/>
              <w:left w:val="nil"/>
              <w:bottom w:val="single" w:sz="8" w:space="0" w:color="auto"/>
              <w:right w:val="single" w:sz="8" w:space="0" w:color="auto"/>
            </w:tcBorders>
            <w:shd w:val="clear" w:color="auto" w:fill="auto"/>
            <w:vAlign w:val="center"/>
            <w:hideMark/>
          </w:tcPr>
          <w:p w14:paraId="1ADC886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96D03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D345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12.2. zapisu grupowego po obu stronach,</w:t>
            </w:r>
          </w:p>
        </w:tc>
        <w:tc>
          <w:tcPr>
            <w:tcW w:w="850" w:type="dxa"/>
            <w:tcBorders>
              <w:top w:val="nil"/>
              <w:left w:val="nil"/>
              <w:bottom w:val="single" w:sz="8" w:space="0" w:color="auto"/>
              <w:right w:val="single" w:sz="8" w:space="0" w:color="auto"/>
            </w:tcBorders>
            <w:shd w:val="clear" w:color="auto" w:fill="auto"/>
            <w:vAlign w:val="center"/>
            <w:hideMark/>
          </w:tcPr>
          <w:p w14:paraId="4524B09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855EF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BDCB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12.3. projektu/zlecenia do danego konta księgowego.</w:t>
            </w:r>
          </w:p>
        </w:tc>
        <w:tc>
          <w:tcPr>
            <w:tcW w:w="850" w:type="dxa"/>
            <w:tcBorders>
              <w:top w:val="nil"/>
              <w:left w:val="nil"/>
              <w:bottom w:val="single" w:sz="8" w:space="0" w:color="auto"/>
              <w:right w:val="single" w:sz="8" w:space="0" w:color="auto"/>
            </w:tcBorders>
            <w:shd w:val="clear" w:color="auto" w:fill="auto"/>
            <w:vAlign w:val="center"/>
            <w:hideMark/>
          </w:tcPr>
          <w:p w14:paraId="3321D2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A3552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994D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Tworzenie zbioru Dziennika zgodnie z zaleceniami Ustawy o rachunkowości.</w:t>
            </w:r>
          </w:p>
        </w:tc>
        <w:tc>
          <w:tcPr>
            <w:tcW w:w="850" w:type="dxa"/>
            <w:tcBorders>
              <w:top w:val="nil"/>
              <w:left w:val="nil"/>
              <w:bottom w:val="single" w:sz="8" w:space="0" w:color="auto"/>
              <w:right w:val="single" w:sz="8" w:space="0" w:color="auto"/>
            </w:tcBorders>
            <w:shd w:val="clear" w:color="auto" w:fill="auto"/>
            <w:vAlign w:val="center"/>
            <w:hideMark/>
          </w:tcPr>
          <w:p w14:paraId="7A318A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56A8B2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0604A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Definiowalne automaty do zamknięcia kont na koniec roku obrotowego bądź dowolnego innego okresu księgowego.</w:t>
            </w:r>
          </w:p>
        </w:tc>
        <w:tc>
          <w:tcPr>
            <w:tcW w:w="850" w:type="dxa"/>
            <w:tcBorders>
              <w:top w:val="nil"/>
              <w:left w:val="nil"/>
              <w:bottom w:val="single" w:sz="8" w:space="0" w:color="auto"/>
              <w:right w:val="single" w:sz="8" w:space="0" w:color="auto"/>
            </w:tcBorders>
            <w:shd w:val="clear" w:color="auto" w:fill="auto"/>
            <w:vAlign w:val="center"/>
            <w:hideMark/>
          </w:tcPr>
          <w:p w14:paraId="03ECFB1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FCAF39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6A69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Oprogramowanie użytkowe musi umożliwiać automatyczne dekretowanie w układzie rodzajowym (automatyczna kontrola kręgu kosztowego).</w:t>
            </w:r>
          </w:p>
        </w:tc>
        <w:tc>
          <w:tcPr>
            <w:tcW w:w="850" w:type="dxa"/>
            <w:tcBorders>
              <w:top w:val="nil"/>
              <w:left w:val="nil"/>
              <w:bottom w:val="single" w:sz="8" w:space="0" w:color="auto"/>
              <w:right w:val="single" w:sz="8" w:space="0" w:color="auto"/>
            </w:tcBorders>
            <w:shd w:val="clear" w:color="auto" w:fill="auto"/>
            <w:vAlign w:val="center"/>
            <w:hideMark/>
          </w:tcPr>
          <w:p w14:paraId="3459B0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7240A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F0DD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Prowadzenie dzienników częściowych oraz sporządzanie zestawienia obrotów dzienników częściowych za dany okres sprawozdawczy (miesięcznie).</w:t>
            </w:r>
          </w:p>
        </w:tc>
        <w:tc>
          <w:tcPr>
            <w:tcW w:w="850" w:type="dxa"/>
            <w:tcBorders>
              <w:top w:val="nil"/>
              <w:left w:val="nil"/>
              <w:bottom w:val="single" w:sz="8" w:space="0" w:color="auto"/>
              <w:right w:val="single" w:sz="8" w:space="0" w:color="auto"/>
            </w:tcBorders>
            <w:shd w:val="clear" w:color="auto" w:fill="auto"/>
            <w:vAlign w:val="center"/>
            <w:hideMark/>
          </w:tcPr>
          <w:p w14:paraId="4E8070B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3B969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281F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17. Oprogramowanie użytkowe musi zapewnić automatyczną numerację kolejności poszczególnych typów dokumentów.</w:t>
            </w:r>
          </w:p>
        </w:tc>
        <w:tc>
          <w:tcPr>
            <w:tcW w:w="850" w:type="dxa"/>
            <w:tcBorders>
              <w:top w:val="nil"/>
              <w:left w:val="nil"/>
              <w:bottom w:val="single" w:sz="8" w:space="0" w:color="auto"/>
              <w:right w:val="single" w:sz="8" w:space="0" w:color="auto"/>
            </w:tcBorders>
            <w:shd w:val="clear" w:color="auto" w:fill="auto"/>
            <w:vAlign w:val="center"/>
            <w:hideMark/>
          </w:tcPr>
          <w:p w14:paraId="604435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7F91F5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059F8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Oprogramowanie użytkowe ma zapewnić widoczne kwoty podsumowań obrotów w dokumencie w układzie analitycznym i syntetycznym.</w:t>
            </w:r>
          </w:p>
        </w:tc>
        <w:tc>
          <w:tcPr>
            <w:tcW w:w="850" w:type="dxa"/>
            <w:tcBorders>
              <w:top w:val="nil"/>
              <w:left w:val="nil"/>
              <w:bottom w:val="single" w:sz="8" w:space="0" w:color="auto"/>
              <w:right w:val="single" w:sz="8" w:space="0" w:color="auto"/>
            </w:tcBorders>
            <w:shd w:val="clear" w:color="auto" w:fill="auto"/>
            <w:vAlign w:val="center"/>
            <w:hideMark/>
          </w:tcPr>
          <w:p w14:paraId="51C685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5E370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33C1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definiowania własnych typów dokumentów (np. polecenia księgowania PK, faktury, noty księgowe, noty odsetkowe, potwierdzenia sald) oraz nadawania im niezależnych numeratorów.</w:t>
            </w:r>
          </w:p>
        </w:tc>
        <w:tc>
          <w:tcPr>
            <w:tcW w:w="850" w:type="dxa"/>
            <w:tcBorders>
              <w:top w:val="nil"/>
              <w:left w:val="nil"/>
              <w:bottom w:val="single" w:sz="8" w:space="0" w:color="auto"/>
              <w:right w:val="single" w:sz="8" w:space="0" w:color="auto"/>
            </w:tcBorders>
            <w:shd w:val="clear" w:color="auto" w:fill="auto"/>
            <w:vAlign w:val="center"/>
            <w:hideMark/>
          </w:tcPr>
          <w:p w14:paraId="4BA502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CAECB2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70EB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Wyszukiwanie dokumentów według wybranych kryteriów, np. zakresie dat, typie dokumentów, numerze konta na wybranym poziomie analityki, identyfikatorze (wewnętrznym oznaczeniu), kwocie, kontrahencie, itp.</w:t>
            </w:r>
          </w:p>
        </w:tc>
        <w:tc>
          <w:tcPr>
            <w:tcW w:w="850" w:type="dxa"/>
            <w:tcBorders>
              <w:top w:val="nil"/>
              <w:left w:val="nil"/>
              <w:bottom w:val="single" w:sz="8" w:space="0" w:color="auto"/>
              <w:right w:val="single" w:sz="8" w:space="0" w:color="auto"/>
            </w:tcBorders>
            <w:shd w:val="clear" w:color="auto" w:fill="auto"/>
            <w:vAlign w:val="center"/>
            <w:hideMark/>
          </w:tcPr>
          <w:p w14:paraId="701765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286D8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B49A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Bieżące określanie stanu rozrachunków z kontrahentami, tj. stanu należności i zobowiązań niezależnie od zamknięcia okresu sprawozdawczego.</w:t>
            </w:r>
          </w:p>
        </w:tc>
        <w:tc>
          <w:tcPr>
            <w:tcW w:w="850" w:type="dxa"/>
            <w:tcBorders>
              <w:top w:val="nil"/>
              <w:left w:val="nil"/>
              <w:bottom w:val="single" w:sz="8" w:space="0" w:color="auto"/>
              <w:right w:val="single" w:sz="8" w:space="0" w:color="auto"/>
            </w:tcBorders>
            <w:shd w:val="clear" w:color="auto" w:fill="auto"/>
            <w:vAlign w:val="center"/>
            <w:hideMark/>
          </w:tcPr>
          <w:p w14:paraId="738764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9EFAE7B"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FEAF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Bieżące informacje o zobowiązaniach i należnościach w żądanych przekrojach według:</w:t>
            </w:r>
            <w:r w:rsidRPr="00B97E7A">
              <w:rPr>
                <w:rFonts w:ascii="Times New Roman" w:eastAsia="Times New Roman" w:hAnsi="Times New Roman" w:cs="Times New Roman"/>
                <w:kern w:val="0"/>
                <w:sz w:val="28"/>
                <w:szCs w:val="28"/>
                <w:lang w:eastAsia="pl-PL"/>
                <w14:ligatures w14:val="none"/>
              </w:rPr>
              <w:br/>
              <w:t>a) okresów sprawozdawczych, narastająco za miesiąc,</w:t>
            </w:r>
            <w:r w:rsidRPr="00B97E7A">
              <w:rPr>
                <w:rFonts w:ascii="Times New Roman" w:eastAsia="Times New Roman" w:hAnsi="Times New Roman" w:cs="Times New Roman"/>
                <w:kern w:val="0"/>
                <w:sz w:val="28"/>
                <w:szCs w:val="28"/>
                <w:lang w:eastAsia="pl-PL"/>
                <w14:ligatures w14:val="none"/>
              </w:rPr>
              <w:br/>
              <w:t>b) kontrahentów,</w:t>
            </w:r>
            <w:r w:rsidRPr="00B97E7A">
              <w:rPr>
                <w:rFonts w:ascii="Times New Roman" w:eastAsia="Times New Roman" w:hAnsi="Times New Roman" w:cs="Times New Roman"/>
                <w:kern w:val="0"/>
                <w:sz w:val="28"/>
                <w:szCs w:val="28"/>
                <w:lang w:eastAsia="pl-PL"/>
                <w14:ligatures w14:val="none"/>
              </w:rPr>
              <w:br/>
              <w:t>c) wybranej analityki prowadzonej na rozrachunku.</w:t>
            </w:r>
          </w:p>
        </w:tc>
        <w:tc>
          <w:tcPr>
            <w:tcW w:w="850" w:type="dxa"/>
            <w:tcBorders>
              <w:top w:val="nil"/>
              <w:left w:val="nil"/>
              <w:bottom w:val="single" w:sz="8" w:space="0" w:color="auto"/>
              <w:right w:val="single" w:sz="8" w:space="0" w:color="auto"/>
            </w:tcBorders>
            <w:shd w:val="clear" w:color="auto" w:fill="auto"/>
            <w:vAlign w:val="center"/>
            <w:hideMark/>
          </w:tcPr>
          <w:p w14:paraId="36AC45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DD3B2C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0556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dekretacji w wielu rejestrach w zależności od rodzaju dokumentu (faktury usługowe, faktury inwestycyjne, wyciągi bankowe, raporty kasowe, magazyny).</w:t>
            </w:r>
          </w:p>
        </w:tc>
        <w:tc>
          <w:tcPr>
            <w:tcW w:w="850" w:type="dxa"/>
            <w:tcBorders>
              <w:top w:val="nil"/>
              <w:left w:val="nil"/>
              <w:bottom w:val="single" w:sz="8" w:space="0" w:color="auto"/>
              <w:right w:val="single" w:sz="8" w:space="0" w:color="auto"/>
            </w:tcBorders>
            <w:shd w:val="clear" w:color="auto" w:fill="auto"/>
            <w:vAlign w:val="center"/>
            <w:hideMark/>
          </w:tcPr>
          <w:p w14:paraId="26CC11C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F1062D"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7F27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automatycznej dekretacji wybranych operacji według ustalonych schematów księgowania oraz ich modyfikacji; automatyczna dekretacja dla: rozliczeń międzyokresowych kosztów, zapłat (raporty kasowe i bankowe, raporty z rozliczenia, np. zaliczek), dekretację dokumentów zakupowych, dekretację not wystawionych i przyjętych, dekretację obrotu magazynowego, dekretację kosztów, a także dekretację majątku trwałego, not i list płac z modułu Kadry i Płace.</w:t>
            </w:r>
          </w:p>
        </w:tc>
        <w:tc>
          <w:tcPr>
            <w:tcW w:w="850" w:type="dxa"/>
            <w:tcBorders>
              <w:top w:val="nil"/>
              <w:left w:val="nil"/>
              <w:bottom w:val="single" w:sz="8" w:space="0" w:color="auto"/>
              <w:right w:val="single" w:sz="8" w:space="0" w:color="auto"/>
            </w:tcBorders>
            <w:shd w:val="clear" w:color="auto" w:fill="auto"/>
            <w:vAlign w:val="center"/>
            <w:hideMark/>
          </w:tcPr>
          <w:p w14:paraId="5214BF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99401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869A4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Dekretowanie zapisów musi odbywać się w sposób umożliwiający identyfikację dokumentu oraz osoby dokonującej zapisu.</w:t>
            </w:r>
          </w:p>
        </w:tc>
        <w:tc>
          <w:tcPr>
            <w:tcW w:w="850" w:type="dxa"/>
            <w:tcBorders>
              <w:top w:val="nil"/>
              <w:left w:val="nil"/>
              <w:bottom w:val="single" w:sz="8" w:space="0" w:color="auto"/>
              <w:right w:val="single" w:sz="8" w:space="0" w:color="auto"/>
            </w:tcBorders>
            <w:shd w:val="clear" w:color="auto" w:fill="auto"/>
            <w:vAlign w:val="center"/>
            <w:hideMark/>
          </w:tcPr>
          <w:p w14:paraId="7BD97C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BD3774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3CCFE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Możliwość grupowania dokumentów w paczki Poleceń Księgowania, tworzone ręcznie lub automatycznie na podstawie wcześniej zdefiniowanych algorytmów księgowania dokumentów.</w:t>
            </w:r>
          </w:p>
        </w:tc>
        <w:tc>
          <w:tcPr>
            <w:tcW w:w="850" w:type="dxa"/>
            <w:tcBorders>
              <w:top w:val="nil"/>
              <w:left w:val="nil"/>
              <w:bottom w:val="single" w:sz="8" w:space="0" w:color="auto"/>
              <w:right w:val="single" w:sz="8" w:space="0" w:color="auto"/>
            </w:tcBorders>
            <w:shd w:val="clear" w:color="auto" w:fill="auto"/>
            <w:vAlign w:val="center"/>
            <w:hideMark/>
          </w:tcPr>
          <w:p w14:paraId="6B01B6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2BD249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943F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Ułatwianie dekretowania danych poprzez słowniki, podpowiedzi, listy wyboru, autouzupełnianie danych.</w:t>
            </w:r>
          </w:p>
        </w:tc>
        <w:tc>
          <w:tcPr>
            <w:tcW w:w="850" w:type="dxa"/>
            <w:tcBorders>
              <w:top w:val="nil"/>
              <w:left w:val="nil"/>
              <w:bottom w:val="single" w:sz="8" w:space="0" w:color="auto"/>
              <w:right w:val="single" w:sz="8" w:space="0" w:color="auto"/>
            </w:tcBorders>
            <w:shd w:val="clear" w:color="auto" w:fill="auto"/>
            <w:vAlign w:val="center"/>
            <w:hideMark/>
          </w:tcPr>
          <w:p w14:paraId="646646F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53CDC1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3234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28. Wyszukiwanie kontrahentów poprzez zastosowanie filtrów (nazwa kontrahenta, miejscowość, NIP, ulica, numer KRS) w celu ich szybkiego znalezienia.</w:t>
            </w:r>
          </w:p>
        </w:tc>
        <w:tc>
          <w:tcPr>
            <w:tcW w:w="850" w:type="dxa"/>
            <w:tcBorders>
              <w:top w:val="nil"/>
              <w:left w:val="nil"/>
              <w:bottom w:val="single" w:sz="8" w:space="0" w:color="auto"/>
              <w:right w:val="single" w:sz="8" w:space="0" w:color="auto"/>
            </w:tcBorders>
            <w:shd w:val="clear" w:color="auto" w:fill="auto"/>
            <w:vAlign w:val="center"/>
            <w:hideMark/>
          </w:tcPr>
          <w:p w14:paraId="3A26955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9B60964"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D426E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29. Możliwość tworzenia wydruków (także w formie pdf lub Excel) poprzez wybrane przez użytkownika funkcje </w:t>
            </w:r>
            <w:proofErr w:type="spellStart"/>
            <w:r w:rsidRPr="00B97E7A">
              <w:rPr>
                <w:rFonts w:ascii="Times New Roman" w:eastAsia="Times New Roman" w:hAnsi="Times New Roman" w:cs="Times New Roman"/>
                <w:kern w:val="0"/>
                <w:sz w:val="28"/>
                <w:szCs w:val="28"/>
                <w:lang w:eastAsia="pl-PL"/>
                <w14:ligatures w14:val="none"/>
              </w:rPr>
              <w:t>parametryzacyjne</w:t>
            </w:r>
            <w:proofErr w:type="spellEnd"/>
            <w:r w:rsidRPr="00B97E7A">
              <w:rPr>
                <w:rFonts w:ascii="Times New Roman" w:eastAsia="Times New Roman" w:hAnsi="Times New Roman" w:cs="Times New Roman"/>
                <w:kern w:val="0"/>
                <w:sz w:val="28"/>
                <w:szCs w:val="28"/>
                <w:lang w:eastAsia="pl-PL"/>
                <w14:ligatures w14:val="none"/>
              </w:rPr>
              <w:t xml:space="preserve"> w systemie. Lista parametrów będzie zależna od rodzaju wydruku, zakresu danych, kontekstu pracy. Wydruki powinny zawierać wszystkie możliwe dane, które zawiera system.</w:t>
            </w:r>
          </w:p>
        </w:tc>
        <w:tc>
          <w:tcPr>
            <w:tcW w:w="850" w:type="dxa"/>
            <w:tcBorders>
              <w:top w:val="nil"/>
              <w:left w:val="nil"/>
              <w:bottom w:val="single" w:sz="8" w:space="0" w:color="auto"/>
              <w:right w:val="single" w:sz="8" w:space="0" w:color="auto"/>
            </w:tcBorders>
            <w:shd w:val="clear" w:color="auto" w:fill="auto"/>
            <w:vAlign w:val="center"/>
            <w:hideMark/>
          </w:tcPr>
          <w:p w14:paraId="77E4A5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95B27D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9305E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Możliwość tworzenia własnych numeratorów dokumentów, przypisywania ich do różnych typów dokumentów i tworzenia dokumentów z wyborem dowolnego zdefiniowanego numeratora.</w:t>
            </w:r>
          </w:p>
        </w:tc>
        <w:tc>
          <w:tcPr>
            <w:tcW w:w="850" w:type="dxa"/>
            <w:tcBorders>
              <w:top w:val="nil"/>
              <w:left w:val="nil"/>
              <w:bottom w:val="single" w:sz="8" w:space="0" w:color="auto"/>
              <w:right w:val="single" w:sz="8" w:space="0" w:color="auto"/>
            </w:tcBorders>
            <w:shd w:val="clear" w:color="auto" w:fill="auto"/>
            <w:vAlign w:val="center"/>
            <w:hideMark/>
          </w:tcPr>
          <w:p w14:paraId="5E55B7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FE016C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1421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Automatyczne wyliczanie wyceny bilansowej na wskazany dzień dla wskazanych kont.</w:t>
            </w:r>
          </w:p>
        </w:tc>
        <w:tc>
          <w:tcPr>
            <w:tcW w:w="850" w:type="dxa"/>
            <w:tcBorders>
              <w:top w:val="nil"/>
              <w:left w:val="nil"/>
              <w:bottom w:val="single" w:sz="8" w:space="0" w:color="auto"/>
              <w:right w:val="single" w:sz="8" w:space="0" w:color="auto"/>
            </w:tcBorders>
            <w:shd w:val="clear" w:color="auto" w:fill="auto"/>
            <w:vAlign w:val="center"/>
            <w:hideMark/>
          </w:tcPr>
          <w:p w14:paraId="7459B0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88B43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D7225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Po zaksięgowaniu dokumentu PK system musi odnieść nakłady na wskazany projekt/zlecenie, będące w korelacji z danym kontem księgowy.</w:t>
            </w:r>
          </w:p>
        </w:tc>
        <w:tc>
          <w:tcPr>
            <w:tcW w:w="850" w:type="dxa"/>
            <w:tcBorders>
              <w:top w:val="nil"/>
              <w:left w:val="nil"/>
              <w:bottom w:val="single" w:sz="8" w:space="0" w:color="auto"/>
              <w:right w:val="single" w:sz="8" w:space="0" w:color="auto"/>
            </w:tcBorders>
            <w:shd w:val="clear" w:color="auto" w:fill="auto"/>
            <w:vAlign w:val="center"/>
            <w:hideMark/>
          </w:tcPr>
          <w:p w14:paraId="524C5C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DFA46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75A380"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ROZRACHUNKI</w:t>
            </w:r>
          </w:p>
        </w:tc>
        <w:tc>
          <w:tcPr>
            <w:tcW w:w="850" w:type="dxa"/>
            <w:tcBorders>
              <w:top w:val="nil"/>
              <w:left w:val="nil"/>
              <w:bottom w:val="single" w:sz="8" w:space="0" w:color="auto"/>
              <w:right w:val="single" w:sz="8" w:space="0" w:color="auto"/>
            </w:tcBorders>
            <w:shd w:val="clear" w:color="000000" w:fill="A6A6A6"/>
            <w:vAlign w:val="center"/>
            <w:hideMark/>
          </w:tcPr>
          <w:p w14:paraId="1D0E4E5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07A478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B33D5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prowadzenia wielu kont rozrachunkowych dla jednego kontrahenta.</w:t>
            </w:r>
          </w:p>
        </w:tc>
        <w:tc>
          <w:tcPr>
            <w:tcW w:w="850" w:type="dxa"/>
            <w:tcBorders>
              <w:top w:val="nil"/>
              <w:left w:val="nil"/>
              <w:bottom w:val="single" w:sz="8" w:space="0" w:color="auto"/>
              <w:right w:val="single" w:sz="8" w:space="0" w:color="auto"/>
            </w:tcBorders>
            <w:shd w:val="clear" w:color="auto" w:fill="auto"/>
            <w:vAlign w:val="center"/>
            <w:hideMark/>
          </w:tcPr>
          <w:p w14:paraId="654418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665CC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16C1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Automatyczne i ręczne rozliczanie rozrachunków, również w momencie dekretowania dokumentu, możliwość operacji powtórnej (rozdzielenie scalonego rozrachunku).</w:t>
            </w:r>
          </w:p>
        </w:tc>
        <w:tc>
          <w:tcPr>
            <w:tcW w:w="850" w:type="dxa"/>
            <w:tcBorders>
              <w:top w:val="nil"/>
              <w:left w:val="nil"/>
              <w:bottom w:val="single" w:sz="8" w:space="0" w:color="auto"/>
              <w:right w:val="single" w:sz="8" w:space="0" w:color="auto"/>
            </w:tcBorders>
            <w:shd w:val="clear" w:color="auto" w:fill="auto"/>
            <w:vAlign w:val="center"/>
            <w:hideMark/>
          </w:tcPr>
          <w:p w14:paraId="7A1706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7DB5D1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20215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Automatyczne rozliczanie zrealizowanych różnic kursowych.</w:t>
            </w:r>
          </w:p>
        </w:tc>
        <w:tc>
          <w:tcPr>
            <w:tcW w:w="850" w:type="dxa"/>
            <w:tcBorders>
              <w:top w:val="nil"/>
              <w:left w:val="nil"/>
              <w:bottom w:val="single" w:sz="8" w:space="0" w:color="auto"/>
              <w:right w:val="single" w:sz="8" w:space="0" w:color="auto"/>
            </w:tcBorders>
            <w:shd w:val="clear" w:color="auto" w:fill="auto"/>
            <w:vAlign w:val="center"/>
            <w:hideMark/>
          </w:tcPr>
          <w:p w14:paraId="3508A6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58E77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8E3D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dokonywania kompensat.</w:t>
            </w:r>
          </w:p>
        </w:tc>
        <w:tc>
          <w:tcPr>
            <w:tcW w:w="850" w:type="dxa"/>
            <w:tcBorders>
              <w:top w:val="nil"/>
              <w:left w:val="nil"/>
              <w:bottom w:val="single" w:sz="8" w:space="0" w:color="auto"/>
              <w:right w:val="single" w:sz="8" w:space="0" w:color="auto"/>
            </w:tcBorders>
            <w:shd w:val="clear" w:color="auto" w:fill="auto"/>
            <w:vAlign w:val="center"/>
            <w:hideMark/>
          </w:tcPr>
          <w:p w14:paraId="5CE4C4A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BEDE84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B4FE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Funkcjonowanie archiwum rozrachunków.</w:t>
            </w:r>
          </w:p>
        </w:tc>
        <w:tc>
          <w:tcPr>
            <w:tcW w:w="850" w:type="dxa"/>
            <w:tcBorders>
              <w:top w:val="nil"/>
              <w:left w:val="nil"/>
              <w:bottom w:val="single" w:sz="8" w:space="0" w:color="auto"/>
              <w:right w:val="single" w:sz="8" w:space="0" w:color="auto"/>
            </w:tcBorders>
            <w:shd w:val="clear" w:color="auto" w:fill="auto"/>
            <w:vAlign w:val="center"/>
            <w:hideMark/>
          </w:tcPr>
          <w:p w14:paraId="5A9908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028C1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F4BE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cofnięcia przeprowadzonego rozliczenia.</w:t>
            </w:r>
          </w:p>
        </w:tc>
        <w:tc>
          <w:tcPr>
            <w:tcW w:w="850" w:type="dxa"/>
            <w:tcBorders>
              <w:top w:val="nil"/>
              <w:left w:val="nil"/>
              <w:bottom w:val="single" w:sz="8" w:space="0" w:color="auto"/>
              <w:right w:val="single" w:sz="8" w:space="0" w:color="auto"/>
            </w:tcBorders>
            <w:shd w:val="clear" w:color="auto" w:fill="auto"/>
            <w:vAlign w:val="center"/>
            <w:hideMark/>
          </w:tcPr>
          <w:p w14:paraId="382C56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DD7E6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C603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zmiany terminu płatności zaksięgowanych dokumentów.</w:t>
            </w:r>
          </w:p>
        </w:tc>
        <w:tc>
          <w:tcPr>
            <w:tcW w:w="850" w:type="dxa"/>
            <w:tcBorders>
              <w:top w:val="nil"/>
              <w:left w:val="nil"/>
              <w:bottom w:val="single" w:sz="8" w:space="0" w:color="auto"/>
              <w:right w:val="single" w:sz="8" w:space="0" w:color="auto"/>
            </w:tcBorders>
            <w:shd w:val="clear" w:color="auto" w:fill="auto"/>
            <w:vAlign w:val="center"/>
            <w:hideMark/>
          </w:tcPr>
          <w:p w14:paraId="2B78DDB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56715B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4825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Ewidencja not odsetkowych obcych.</w:t>
            </w:r>
          </w:p>
        </w:tc>
        <w:tc>
          <w:tcPr>
            <w:tcW w:w="850" w:type="dxa"/>
            <w:tcBorders>
              <w:top w:val="nil"/>
              <w:left w:val="nil"/>
              <w:bottom w:val="single" w:sz="8" w:space="0" w:color="auto"/>
              <w:right w:val="single" w:sz="8" w:space="0" w:color="auto"/>
            </w:tcBorders>
            <w:shd w:val="clear" w:color="auto" w:fill="auto"/>
            <w:vAlign w:val="center"/>
            <w:hideMark/>
          </w:tcPr>
          <w:p w14:paraId="0CD2287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468D49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B958C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Ewidencja postępowań z kontrahentami - kompensat, spraw sądowych, etc.</w:t>
            </w:r>
          </w:p>
        </w:tc>
        <w:tc>
          <w:tcPr>
            <w:tcW w:w="850" w:type="dxa"/>
            <w:tcBorders>
              <w:top w:val="nil"/>
              <w:left w:val="nil"/>
              <w:bottom w:val="single" w:sz="8" w:space="0" w:color="auto"/>
              <w:right w:val="single" w:sz="8" w:space="0" w:color="auto"/>
            </w:tcBorders>
            <w:shd w:val="clear" w:color="auto" w:fill="auto"/>
            <w:vAlign w:val="center"/>
            <w:hideMark/>
          </w:tcPr>
          <w:p w14:paraId="778F02B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8EDBA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B08D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 Możliwość sporządzania dokumentów związanych z rozrachunkami kontrahentów, np. potwierdzeń salda czy wiekowania zobowiązań/należności.</w:t>
            </w:r>
          </w:p>
        </w:tc>
        <w:tc>
          <w:tcPr>
            <w:tcW w:w="850" w:type="dxa"/>
            <w:tcBorders>
              <w:top w:val="nil"/>
              <w:left w:val="nil"/>
              <w:bottom w:val="single" w:sz="8" w:space="0" w:color="auto"/>
              <w:right w:val="single" w:sz="8" w:space="0" w:color="auto"/>
            </w:tcBorders>
            <w:shd w:val="clear" w:color="auto" w:fill="auto"/>
            <w:vAlign w:val="center"/>
            <w:hideMark/>
          </w:tcPr>
          <w:p w14:paraId="04212B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D7A25D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8CEC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rozliczeń umorzeń i kompensat.</w:t>
            </w:r>
          </w:p>
        </w:tc>
        <w:tc>
          <w:tcPr>
            <w:tcW w:w="850" w:type="dxa"/>
            <w:tcBorders>
              <w:top w:val="nil"/>
              <w:left w:val="nil"/>
              <w:bottom w:val="single" w:sz="8" w:space="0" w:color="auto"/>
              <w:right w:val="single" w:sz="8" w:space="0" w:color="auto"/>
            </w:tcBorders>
            <w:shd w:val="clear" w:color="auto" w:fill="auto"/>
            <w:vAlign w:val="center"/>
            <w:hideMark/>
          </w:tcPr>
          <w:p w14:paraId="4F46E2D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B81DB6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0A25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parowania (przypisania) zapłat do danego dokumentu.</w:t>
            </w:r>
          </w:p>
        </w:tc>
        <w:tc>
          <w:tcPr>
            <w:tcW w:w="850" w:type="dxa"/>
            <w:tcBorders>
              <w:top w:val="nil"/>
              <w:left w:val="nil"/>
              <w:bottom w:val="single" w:sz="8" w:space="0" w:color="auto"/>
              <w:right w:val="single" w:sz="8" w:space="0" w:color="auto"/>
            </w:tcBorders>
            <w:shd w:val="clear" w:color="auto" w:fill="auto"/>
            <w:vAlign w:val="center"/>
            <w:hideMark/>
          </w:tcPr>
          <w:p w14:paraId="5A4531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7C09C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CBBDC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PODATEK VAT</w:t>
            </w:r>
          </w:p>
        </w:tc>
        <w:tc>
          <w:tcPr>
            <w:tcW w:w="850" w:type="dxa"/>
            <w:tcBorders>
              <w:top w:val="nil"/>
              <w:left w:val="nil"/>
              <w:bottom w:val="single" w:sz="8" w:space="0" w:color="auto"/>
              <w:right w:val="single" w:sz="8" w:space="0" w:color="auto"/>
            </w:tcBorders>
            <w:shd w:val="clear" w:color="000000" w:fill="A6A6A6"/>
            <w:vAlign w:val="center"/>
            <w:hideMark/>
          </w:tcPr>
          <w:p w14:paraId="363BC1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15D288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90A1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Automatyczne tworzenie rejestrów VAT dla wskazanych grup dokumentów.</w:t>
            </w:r>
          </w:p>
        </w:tc>
        <w:tc>
          <w:tcPr>
            <w:tcW w:w="850" w:type="dxa"/>
            <w:tcBorders>
              <w:top w:val="nil"/>
              <w:left w:val="nil"/>
              <w:bottom w:val="single" w:sz="8" w:space="0" w:color="auto"/>
              <w:right w:val="single" w:sz="8" w:space="0" w:color="auto"/>
            </w:tcBorders>
            <w:shd w:val="clear" w:color="auto" w:fill="auto"/>
            <w:vAlign w:val="center"/>
            <w:hideMark/>
          </w:tcPr>
          <w:p w14:paraId="69A245D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87F4A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E8DFC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modyfikacji, dodawania oraz usuwania (także wielu/wszystkich równocześnie) wybranych dokumentów.</w:t>
            </w:r>
          </w:p>
        </w:tc>
        <w:tc>
          <w:tcPr>
            <w:tcW w:w="850" w:type="dxa"/>
            <w:tcBorders>
              <w:top w:val="nil"/>
              <w:left w:val="nil"/>
              <w:bottom w:val="single" w:sz="8" w:space="0" w:color="auto"/>
              <w:right w:val="single" w:sz="8" w:space="0" w:color="auto"/>
            </w:tcBorders>
            <w:shd w:val="clear" w:color="auto" w:fill="auto"/>
            <w:vAlign w:val="center"/>
            <w:hideMark/>
          </w:tcPr>
          <w:p w14:paraId="29DE48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13E8DB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C2A1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przeglądania rejestrów VAT za dowolny miesiąc.</w:t>
            </w:r>
          </w:p>
        </w:tc>
        <w:tc>
          <w:tcPr>
            <w:tcW w:w="850" w:type="dxa"/>
            <w:tcBorders>
              <w:top w:val="nil"/>
              <w:left w:val="nil"/>
              <w:bottom w:val="single" w:sz="8" w:space="0" w:color="auto"/>
              <w:right w:val="single" w:sz="8" w:space="0" w:color="auto"/>
            </w:tcBorders>
            <w:shd w:val="clear" w:color="auto" w:fill="auto"/>
            <w:vAlign w:val="center"/>
            <w:hideMark/>
          </w:tcPr>
          <w:p w14:paraId="1EAA95B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53B80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CE443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drukowania rejestrów VAT i danych do deklaracji VAT.</w:t>
            </w:r>
          </w:p>
        </w:tc>
        <w:tc>
          <w:tcPr>
            <w:tcW w:w="850" w:type="dxa"/>
            <w:tcBorders>
              <w:top w:val="nil"/>
              <w:left w:val="nil"/>
              <w:bottom w:val="single" w:sz="8" w:space="0" w:color="auto"/>
              <w:right w:val="single" w:sz="8" w:space="0" w:color="auto"/>
            </w:tcBorders>
            <w:shd w:val="clear" w:color="auto" w:fill="auto"/>
            <w:vAlign w:val="center"/>
            <w:hideMark/>
          </w:tcPr>
          <w:p w14:paraId="2F1CFE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DF80E5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C763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przeglądania dokumentów nie ujętych na rejestrze VAT.</w:t>
            </w:r>
          </w:p>
        </w:tc>
        <w:tc>
          <w:tcPr>
            <w:tcW w:w="850" w:type="dxa"/>
            <w:tcBorders>
              <w:top w:val="nil"/>
              <w:left w:val="nil"/>
              <w:bottom w:val="single" w:sz="8" w:space="0" w:color="auto"/>
              <w:right w:val="single" w:sz="8" w:space="0" w:color="auto"/>
            </w:tcBorders>
            <w:shd w:val="clear" w:color="auto" w:fill="auto"/>
            <w:vAlign w:val="center"/>
            <w:hideMark/>
          </w:tcPr>
          <w:p w14:paraId="0043A4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0B6525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4ACD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modyfikacji parametrów dokumentu dotyczących podatku VAT (np. data obowiązku VAT).</w:t>
            </w:r>
          </w:p>
        </w:tc>
        <w:tc>
          <w:tcPr>
            <w:tcW w:w="850" w:type="dxa"/>
            <w:tcBorders>
              <w:top w:val="nil"/>
              <w:left w:val="nil"/>
              <w:bottom w:val="single" w:sz="8" w:space="0" w:color="auto"/>
              <w:right w:val="single" w:sz="8" w:space="0" w:color="auto"/>
            </w:tcBorders>
            <w:shd w:val="clear" w:color="auto" w:fill="auto"/>
            <w:vAlign w:val="center"/>
            <w:hideMark/>
          </w:tcPr>
          <w:p w14:paraId="00C495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35505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82CF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zaznaczenia przy kontrahencie „metoda kasowa”.</w:t>
            </w:r>
          </w:p>
        </w:tc>
        <w:tc>
          <w:tcPr>
            <w:tcW w:w="850" w:type="dxa"/>
            <w:tcBorders>
              <w:top w:val="nil"/>
              <w:left w:val="nil"/>
              <w:bottom w:val="single" w:sz="8" w:space="0" w:color="auto"/>
              <w:right w:val="single" w:sz="8" w:space="0" w:color="auto"/>
            </w:tcBorders>
            <w:shd w:val="clear" w:color="auto" w:fill="auto"/>
            <w:vAlign w:val="center"/>
            <w:hideMark/>
          </w:tcPr>
          <w:p w14:paraId="5E5EF6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AD1D7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575DE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Generowanie oraz wysyłkę deklaracji VAT-7M, VAT-UE, VAT-27.</w:t>
            </w:r>
          </w:p>
        </w:tc>
        <w:tc>
          <w:tcPr>
            <w:tcW w:w="850" w:type="dxa"/>
            <w:tcBorders>
              <w:top w:val="nil"/>
              <w:left w:val="nil"/>
              <w:bottom w:val="single" w:sz="8" w:space="0" w:color="auto"/>
              <w:right w:val="single" w:sz="8" w:space="0" w:color="auto"/>
            </w:tcBorders>
            <w:shd w:val="clear" w:color="auto" w:fill="auto"/>
            <w:vAlign w:val="center"/>
            <w:hideMark/>
          </w:tcPr>
          <w:p w14:paraId="46B9B0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C5B3BA9"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5121F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Funkcjonalność związana z obowiązkiem przekazywania za pomocą środków komunikacji elektronicznej, danych w zakresie ksiąg podatkowych i dowodów księgowych w postaci plików JPK o określonej strukturze oraz obowiązku comiesięcznego przekazywania elektronicznej wersji ewidencji zakupu i sprzedaży VAT (plików JPK_VAT), automatyzacja tworzenia pozostałych JPK.</w:t>
            </w:r>
          </w:p>
        </w:tc>
        <w:tc>
          <w:tcPr>
            <w:tcW w:w="850" w:type="dxa"/>
            <w:tcBorders>
              <w:top w:val="nil"/>
              <w:left w:val="nil"/>
              <w:bottom w:val="single" w:sz="8" w:space="0" w:color="auto"/>
              <w:right w:val="single" w:sz="8" w:space="0" w:color="auto"/>
            </w:tcBorders>
            <w:shd w:val="clear" w:color="auto" w:fill="auto"/>
            <w:vAlign w:val="center"/>
            <w:hideMark/>
          </w:tcPr>
          <w:p w14:paraId="5B9208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625079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0C7CF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Zakres JPK powinien gwarantować:</w:t>
            </w:r>
          </w:p>
        </w:tc>
        <w:tc>
          <w:tcPr>
            <w:tcW w:w="850" w:type="dxa"/>
            <w:tcBorders>
              <w:top w:val="nil"/>
              <w:left w:val="nil"/>
              <w:bottom w:val="single" w:sz="8" w:space="0" w:color="auto"/>
              <w:right w:val="single" w:sz="8" w:space="0" w:color="auto"/>
            </w:tcBorders>
            <w:shd w:val="clear" w:color="000000" w:fill="A6A6A6"/>
            <w:vAlign w:val="center"/>
            <w:hideMark/>
          </w:tcPr>
          <w:p w14:paraId="3123D1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0F9AC9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A084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10.1. Wysyłkę plików JPK (zgodnych ze schematem określającym strukturę określonego dokumentu elektronicznego publikowaną przez Ministerstwo Finansów) na serwery ministerstwa – w tym także plików JPK_V7M,</w:t>
            </w:r>
          </w:p>
        </w:tc>
        <w:tc>
          <w:tcPr>
            <w:tcW w:w="850" w:type="dxa"/>
            <w:tcBorders>
              <w:top w:val="nil"/>
              <w:left w:val="nil"/>
              <w:bottom w:val="single" w:sz="8" w:space="0" w:color="auto"/>
              <w:right w:val="single" w:sz="8" w:space="0" w:color="auto"/>
            </w:tcBorders>
            <w:shd w:val="clear" w:color="auto" w:fill="auto"/>
            <w:vAlign w:val="center"/>
            <w:hideMark/>
          </w:tcPr>
          <w:p w14:paraId="49FD2ED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255547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5E09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10.2. Możliwość podglądu zawartości plików zapisanych w przejrzystej formie i upewnienia się, że importowane dokumenty są kompletne i poprawne,</w:t>
            </w:r>
          </w:p>
        </w:tc>
        <w:tc>
          <w:tcPr>
            <w:tcW w:w="850" w:type="dxa"/>
            <w:tcBorders>
              <w:top w:val="nil"/>
              <w:left w:val="nil"/>
              <w:bottom w:val="single" w:sz="8" w:space="0" w:color="auto"/>
              <w:right w:val="single" w:sz="8" w:space="0" w:color="auto"/>
            </w:tcBorders>
            <w:shd w:val="clear" w:color="auto" w:fill="auto"/>
            <w:vAlign w:val="center"/>
            <w:hideMark/>
          </w:tcPr>
          <w:p w14:paraId="13A6D5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AF07DB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962BB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10.3. Podpisania kwalifikowanym podpisem elektronicznym oraz możliwość odbierania i przechowywania plików UPO (Urzędowych Poświadczeń Odbioru), a także ich drukowania czy eksportowania do pliku w formacie PDF,</w:t>
            </w:r>
          </w:p>
        </w:tc>
        <w:tc>
          <w:tcPr>
            <w:tcW w:w="850" w:type="dxa"/>
            <w:tcBorders>
              <w:top w:val="nil"/>
              <w:left w:val="nil"/>
              <w:bottom w:val="single" w:sz="8" w:space="0" w:color="auto"/>
              <w:right w:val="single" w:sz="8" w:space="0" w:color="auto"/>
            </w:tcBorders>
            <w:shd w:val="clear" w:color="auto" w:fill="auto"/>
            <w:vAlign w:val="center"/>
            <w:hideMark/>
          </w:tcPr>
          <w:p w14:paraId="021857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F77E7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140F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10.4. Przygotowania archiwum aplikacji zawierającego archiwalne pliki,</w:t>
            </w:r>
          </w:p>
        </w:tc>
        <w:tc>
          <w:tcPr>
            <w:tcW w:w="850" w:type="dxa"/>
            <w:tcBorders>
              <w:top w:val="nil"/>
              <w:left w:val="nil"/>
              <w:bottom w:val="single" w:sz="8" w:space="0" w:color="auto"/>
              <w:right w:val="single" w:sz="8" w:space="0" w:color="auto"/>
            </w:tcBorders>
            <w:shd w:val="clear" w:color="auto" w:fill="auto"/>
            <w:vAlign w:val="center"/>
            <w:hideMark/>
          </w:tcPr>
          <w:p w14:paraId="579EDF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15B2077"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BB387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10.5. Korzystania z wykazu dokumentów JPK, w którym dostępny jest komplet informacji dotyczących dokumentów JPK oraz ich edycji, takich jak na przykład: daty utworzenia; modyfikacji, złożenia podpisu, przekazania plików czy odebrania UPO; dane pracujących z dokumentem Użytkowników; informację o statusie.</w:t>
            </w:r>
          </w:p>
        </w:tc>
        <w:tc>
          <w:tcPr>
            <w:tcW w:w="850" w:type="dxa"/>
            <w:tcBorders>
              <w:top w:val="nil"/>
              <w:left w:val="nil"/>
              <w:bottom w:val="single" w:sz="8" w:space="0" w:color="auto"/>
              <w:right w:val="single" w:sz="8" w:space="0" w:color="auto"/>
            </w:tcBorders>
            <w:shd w:val="clear" w:color="auto" w:fill="auto"/>
            <w:vAlign w:val="center"/>
            <w:hideMark/>
          </w:tcPr>
          <w:p w14:paraId="1A718D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EF31F8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F920E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ROZLICZENIE KOSZTÓW</w:t>
            </w:r>
          </w:p>
        </w:tc>
        <w:tc>
          <w:tcPr>
            <w:tcW w:w="850" w:type="dxa"/>
            <w:tcBorders>
              <w:top w:val="nil"/>
              <w:left w:val="nil"/>
              <w:bottom w:val="single" w:sz="8" w:space="0" w:color="auto"/>
              <w:right w:val="single" w:sz="8" w:space="0" w:color="auto"/>
            </w:tcBorders>
            <w:shd w:val="clear" w:color="000000" w:fill="A6A6A6"/>
            <w:vAlign w:val="center"/>
            <w:hideMark/>
          </w:tcPr>
          <w:p w14:paraId="437086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DFF02B5"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0C99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zdefiniowania raportów automatyzujących rozliczenie kosztów miesiąca oraz generowanie do nich dekretów księgowych, z możliwością ręcznego wprowadzania parametrów wykorzystywanych do przeliczania danych w raporcie wraz z możliwością zapisywania tych parametrów dla każdego okresu i późniejszego wykorzystania ich w raportowaniu bieżącym, w oparciu o nakłady odnoszone na projekty i zlecenia.</w:t>
            </w:r>
          </w:p>
        </w:tc>
        <w:tc>
          <w:tcPr>
            <w:tcW w:w="850" w:type="dxa"/>
            <w:tcBorders>
              <w:top w:val="nil"/>
              <w:left w:val="nil"/>
              <w:bottom w:val="single" w:sz="8" w:space="0" w:color="auto"/>
              <w:right w:val="single" w:sz="8" w:space="0" w:color="auto"/>
            </w:tcBorders>
            <w:shd w:val="clear" w:color="auto" w:fill="auto"/>
            <w:vAlign w:val="center"/>
            <w:hideMark/>
          </w:tcPr>
          <w:p w14:paraId="5E74B2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66F3BB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17B0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zdefiniowania raportów przenoszących nakłady między projektami w oparciu o parametry tych projektów bez konieczności generowania dokumentów przeksięgowań między kontami analitycznymi.</w:t>
            </w:r>
          </w:p>
        </w:tc>
        <w:tc>
          <w:tcPr>
            <w:tcW w:w="850" w:type="dxa"/>
            <w:tcBorders>
              <w:top w:val="nil"/>
              <w:left w:val="nil"/>
              <w:bottom w:val="single" w:sz="8" w:space="0" w:color="auto"/>
              <w:right w:val="single" w:sz="8" w:space="0" w:color="auto"/>
            </w:tcBorders>
            <w:shd w:val="clear" w:color="auto" w:fill="auto"/>
            <w:vAlign w:val="center"/>
            <w:hideMark/>
          </w:tcPr>
          <w:p w14:paraId="56DEA5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A1F04E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53B5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w trakcie miesiąca kwalifikowania kosztów według Miejsc Powstania Kosztów – każdy dział odnosi koszty na swój MPK, w momencie rozliczenia koszty są kwalifikowane na odbiorców tych kosztów, czyli komórki organizacyjne dla jakich dane prace były realizowane.</w:t>
            </w:r>
          </w:p>
        </w:tc>
        <w:tc>
          <w:tcPr>
            <w:tcW w:w="850" w:type="dxa"/>
            <w:tcBorders>
              <w:top w:val="nil"/>
              <w:left w:val="nil"/>
              <w:bottom w:val="single" w:sz="8" w:space="0" w:color="auto"/>
              <w:right w:val="single" w:sz="8" w:space="0" w:color="auto"/>
            </w:tcBorders>
            <w:shd w:val="clear" w:color="auto" w:fill="auto"/>
            <w:vAlign w:val="center"/>
            <w:hideMark/>
          </w:tcPr>
          <w:p w14:paraId="7A5B42C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F88F6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0ABA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Dla celów zdjęcia rozliczonych kosztów z konta rozliczanego musi być konieczność w systemie automatycznego księgowania na konta rozliczeniowe dla danego MPK w ramach odpowiednich rodzajów działalności; konta te muszą mieć postać 5xx-MPK-999-9.</w:t>
            </w:r>
          </w:p>
        </w:tc>
        <w:tc>
          <w:tcPr>
            <w:tcW w:w="850" w:type="dxa"/>
            <w:tcBorders>
              <w:top w:val="nil"/>
              <w:left w:val="nil"/>
              <w:bottom w:val="single" w:sz="8" w:space="0" w:color="auto"/>
              <w:right w:val="single" w:sz="8" w:space="0" w:color="auto"/>
            </w:tcBorders>
            <w:shd w:val="clear" w:color="auto" w:fill="auto"/>
            <w:vAlign w:val="center"/>
            <w:hideMark/>
          </w:tcPr>
          <w:p w14:paraId="3DA751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5CB7494"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A2ACB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przygotowania raportów kontrolnych, weryfikujących sumę konta i sumę projektu dla każdego konta syntetycznego i MPK funkcjonujących w ramach tego konta; możliwość wielokrotnego przeliczania raportów w obrębie miesiąca.</w:t>
            </w:r>
          </w:p>
        </w:tc>
        <w:tc>
          <w:tcPr>
            <w:tcW w:w="850" w:type="dxa"/>
            <w:tcBorders>
              <w:top w:val="nil"/>
              <w:left w:val="nil"/>
              <w:bottom w:val="single" w:sz="8" w:space="0" w:color="auto"/>
              <w:right w:val="single" w:sz="8" w:space="0" w:color="auto"/>
            </w:tcBorders>
            <w:shd w:val="clear" w:color="auto" w:fill="auto"/>
            <w:vAlign w:val="center"/>
            <w:hideMark/>
          </w:tcPr>
          <w:p w14:paraId="33C91F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4080A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44393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kopiowania raportów rozliczeniowych i wprowadzania zmian w definicji raportu skopiowanego.</w:t>
            </w:r>
          </w:p>
        </w:tc>
        <w:tc>
          <w:tcPr>
            <w:tcW w:w="850" w:type="dxa"/>
            <w:tcBorders>
              <w:top w:val="nil"/>
              <w:left w:val="nil"/>
              <w:bottom w:val="single" w:sz="8" w:space="0" w:color="auto"/>
              <w:right w:val="single" w:sz="8" w:space="0" w:color="auto"/>
            </w:tcBorders>
            <w:shd w:val="clear" w:color="auto" w:fill="auto"/>
            <w:vAlign w:val="center"/>
            <w:hideMark/>
          </w:tcPr>
          <w:p w14:paraId="3954D37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8BB88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95328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 xml:space="preserve">7. Automatyczne generowanie </w:t>
            </w:r>
            <w:proofErr w:type="spellStart"/>
            <w:r w:rsidRPr="00B97E7A">
              <w:rPr>
                <w:rFonts w:ascii="Times New Roman" w:eastAsia="Times New Roman" w:hAnsi="Times New Roman" w:cs="Times New Roman"/>
                <w:kern w:val="0"/>
                <w:sz w:val="28"/>
                <w:szCs w:val="28"/>
                <w:lang w:eastAsia="pl-PL"/>
                <w14:ligatures w14:val="none"/>
              </w:rPr>
              <w:t>PK’ów</w:t>
            </w:r>
            <w:proofErr w:type="spellEnd"/>
            <w:r w:rsidRPr="00B97E7A">
              <w:rPr>
                <w:rFonts w:ascii="Times New Roman" w:eastAsia="Times New Roman" w:hAnsi="Times New Roman" w:cs="Times New Roman"/>
                <w:kern w:val="0"/>
                <w:sz w:val="28"/>
                <w:szCs w:val="28"/>
                <w:lang w:eastAsia="pl-PL"/>
                <w14:ligatures w14:val="none"/>
              </w:rPr>
              <w:t xml:space="preserve"> z raportów rozliczających koszty.</w:t>
            </w:r>
          </w:p>
        </w:tc>
        <w:tc>
          <w:tcPr>
            <w:tcW w:w="850" w:type="dxa"/>
            <w:tcBorders>
              <w:top w:val="nil"/>
              <w:left w:val="nil"/>
              <w:bottom w:val="single" w:sz="8" w:space="0" w:color="auto"/>
              <w:right w:val="single" w:sz="8" w:space="0" w:color="auto"/>
            </w:tcBorders>
            <w:shd w:val="clear" w:color="auto" w:fill="auto"/>
            <w:vAlign w:val="center"/>
            <w:hideMark/>
          </w:tcPr>
          <w:p w14:paraId="3DC062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EFA85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33B65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generowania wydruków kontrolnych do raportów, weryfikujących odniesione nakłady na projekty z uwzględnieniem wskazanych parametrów, zestawów (np. zestaw kosztów, ilość kilometrów).</w:t>
            </w:r>
          </w:p>
        </w:tc>
        <w:tc>
          <w:tcPr>
            <w:tcW w:w="850" w:type="dxa"/>
            <w:tcBorders>
              <w:top w:val="nil"/>
              <w:left w:val="nil"/>
              <w:bottom w:val="single" w:sz="8" w:space="0" w:color="auto"/>
              <w:right w:val="single" w:sz="8" w:space="0" w:color="auto"/>
            </w:tcBorders>
            <w:shd w:val="clear" w:color="auto" w:fill="auto"/>
            <w:vAlign w:val="center"/>
            <w:hideMark/>
          </w:tcPr>
          <w:p w14:paraId="31E7F00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73801A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18DD4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archiwizowania wyników raportu z poprzednich okresów.</w:t>
            </w:r>
          </w:p>
        </w:tc>
        <w:tc>
          <w:tcPr>
            <w:tcW w:w="850" w:type="dxa"/>
            <w:tcBorders>
              <w:top w:val="nil"/>
              <w:left w:val="nil"/>
              <w:bottom w:val="single" w:sz="8" w:space="0" w:color="auto"/>
              <w:right w:val="single" w:sz="8" w:space="0" w:color="auto"/>
            </w:tcBorders>
            <w:shd w:val="clear" w:color="auto" w:fill="auto"/>
            <w:vAlign w:val="center"/>
            <w:hideMark/>
          </w:tcPr>
          <w:p w14:paraId="56ECD8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4C34E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A429A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KASA</w:t>
            </w:r>
          </w:p>
        </w:tc>
        <w:tc>
          <w:tcPr>
            <w:tcW w:w="850" w:type="dxa"/>
            <w:tcBorders>
              <w:top w:val="nil"/>
              <w:left w:val="nil"/>
              <w:bottom w:val="single" w:sz="8" w:space="0" w:color="auto"/>
              <w:right w:val="single" w:sz="8" w:space="0" w:color="auto"/>
            </w:tcBorders>
            <w:shd w:val="clear" w:color="000000" w:fill="A6A6A6"/>
            <w:vAlign w:val="center"/>
            <w:hideMark/>
          </w:tcPr>
          <w:p w14:paraId="26DEB82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3151C2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96F96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Obsługa dowolnej liczby kas - kasy gotówkowe/kasy płatności kartami.</w:t>
            </w:r>
          </w:p>
        </w:tc>
        <w:tc>
          <w:tcPr>
            <w:tcW w:w="850" w:type="dxa"/>
            <w:tcBorders>
              <w:top w:val="nil"/>
              <w:left w:val="nil"/>
              <w:bottom w:val="single" w:sz="8" w:space="0" w:color="auto"/>
              <w:right w:val="single" w:sz="8" w:space="0" w:color="auto"/>
            </w:tcBorders>
            <w:shd w:val="clear" w:color="auto" w:fill="auto"/>
            <w:vAlign w:val="center"/>
            <w:hideMark/>
          </w:tcPr>
          <w:p w14:paraId="39EAE3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4359C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E5C1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Obsługa kas w dowolnej walucie.</w:t>
            </w:r>
          </w:p>
        </w:tc>
        <w:tc>
          <w:tcPr>
            <w:tcW w:w="850" w:type="dxa"/>
            <w:tcBorders>
              <w:top w:val="nil"/>
              <w:left w:val="nil"/>
              <w:bottom w:val="single" w:sz="8" w:space="0" w:color="auto"/>
              <w:right w:val="single" w:sz="8" w:space="0" w:color="auto"/>
            </w:tcBorders>
            <w:shd w:val="clear" w:color="auto" w:fill="auto"/>
            <w:vAlign w:val="center"/>
            <w:hideMark/>
          </w:tcPr>
          <w:p w14:paraId="182A56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7CFE5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1D75B7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Przydział uprawnień operatorów do poszczególnych kas.</w:t>
            </w:r>
          </w:p>
        </w:tc>
        <w:tc>
          <w:tcPr>
            <w:tcW w:w="850" w:type="dxa"/>
            <w:tcBorders>
              <w:top w:val="nil"/>
              <w:left w:val="nil"/>
              <w:bottom w:val="single" w:sz="8" w:space="0" w:color="auto"/>
              <w:right w:val="single" w:sz="8" w:space="0" w:color="auto"/>
            </w:tcBorders>
            <w:shd w:val="clear" w:color="auto" w:fill="auto"/>
            <w:vAlign w:val="center"/>
            <w:hideMark/>
          </w:tcPr>
          <w:p w14:paraId="4DDCC4F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121F5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3520F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Wprowadzanie i automatyczne drukowanie dokumentów kasowych KP/KW po każdej operacji z możliwością anulowania wydruku przez kasjera.</w:t>
            </w:r>
          </w:p>
        </w:tc>
        <w:tc>
          <w:tcPr>
            <w:tcW w:w="850" w:type="dxa"/>
            <w:tcBorders>
              <w:top w:val="nil"/>
              <w:left w:val="nil"/>
              <w:bottom w:val="single" w:sz="8" w:space="0" w:color="auto"/>
              <w:right w:val="single" w:sz="8" w:space="0" w:color="auto"/>
            </w:tcBorders>
            <w:shd w:val="clear" w:color="auto" w:fill="auto"/>
            <w:vAlign w:val="center"/>
            <w:hideMark/>
          </w:tcPr>
          <w:p w14:paraId="003DD4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27D5E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492F1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Automatyczna numeracja dowodów kasowych KP/KW.</w:t>
            </w:r>
          </w:p>
        </w:tc>
        <w:tc>
          <w:tcPr>
            <w:tcW w:w="850" w:type="dxa"/>
            <w:tcBorders>
              <w:top w:val="nil"/>
              <w:left w:val="nil"/>
              <w:bottom w:val="single" w:sz="8" w:space="0" w:color="auto"/>
              <w:right w:val="single" w:sz="8" w:space="0" w:color="auto"/>
            </w:tcBorders>
            <w:shd w:val="clear" w:color="auto" w:fill="auto"/>
            <w:vAlign w:val="center"/>
            <w:hideMark/>
          </w:tcPr>
          <w:p w14:paraId="739F549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C5DD9A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B17E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wydruku KP/KW w dowolnym momencie.</w:t>
            </w:r>
          </w:p>
        </w:tc>
        <w:tc>
          <w:tcPr>
            <w:tcW w:w="850" w:type="dxa"/>
            <w:tcBorders>
              <w:top w:val="nil"/>
              <w:left w:val="nil"/>
              <w:bottom w:val="single" w:sz="8" w:space="0" w:color="auto"/>
              <w:right w:val="single" w:sz="8" w:space="0" w:color="auto"/>
            </w:tcBorders>
            <w:shd w:val="clear" w:color="auto" w:fill="auto"/>
            <w:vAlign w:val="center"/>
            <w:hideMark/>
          </w:tcPr>
          <w:p w14:paraId="5A41762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29B0E1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72E9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Wyszukiwanie dokumentu, do którego nastąpiła płatność po np. kodzie kreskowym, symbolu dokumentu, kontrahencie, itp.</w:t>
            </w:r>
          </w:p>
        </w:tc>
        <w:tc>
          <w:tcPr>
            <w:tcW w:w="850" w:type="dxa"/>
            <w:tcBorders>
              <w:top w:val="nil"/>
              <w:left w:val="nil"/>
              <w:bottom w:val="single" w:sz="8" w:space="0" w:color="auto"/>
              <w:right w:val="single" w:sz="8" w:space="0" w:color="auto"/>
            </w:tcBorders>
            <w:shd w:val="clear" w:color="auto" w:fill="auto"/>
            <w:vAlign w:val="center"/>
            <w:hideMark/>
          </w:tcPr>
          <w:p w14:paraId="6E684E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05C944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78FE5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Dokumenty kasowe wielopozycyjne.</w:t>
            </w:r>
          </w:p>
        </w:tc>
        <w:tc>
          <w:tcPr>
            <w:tcW w:w="850" w:type="dxa"/>
            <w:tcBorders>
              <w:top w:val="nil"/>
              <w:left w:val="nil"/>
              <w:bottom w:val="single" w:sz="8" w:space="0" w:color="auto"/>
              <w:right w:val="single" w:sz="8" w:space="0" w:color="auto"/>
            </w:tcBorders>
            <w:shd w:val="clear" w:color="auto" w:fill="auto"/>
            <w:vAlign w:val="center"/>
            <w:hideMark/>
          </w:tcPr>
          <w:p w14:paraId="19C25C5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1974C9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B128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zapisywania uwag do płatności - pole info.</w:t>
            </w:r>
          </w:p>
        </w:tc>
        <w:tc>
          <w:tcPr>
            <w:tcW w:w="850" w:type="dxa"/>
            <w:tcBorders>
              <w:top w:val="nil"/>
              <w:left w:val="nil"/>
              <w:bottom w:val="single" w:sz="8" w:space="0" w:color="auto"/>
              <w:right w:val="single" w:sz="8" w:space="0" w:color="auto"/>
            </w:tcBorders>
            <w:shd w:val="clear" w:color="auto" w:fill="auto"/>
            <w:vAlign w:val="center"/>
            <w:hideMark/>
          </w:tcPr>
          <w:p w14:paraId="497110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93C1B1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6263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Ergonomiczne rejestrowanie wpłat - przy jak najmniejszej ilości operacji.</w:t>
            </w:r>
          </w:p>
        </w:tc>
        <w:tc>
          <w:tcPr>
            <w:tcW w:w="850" w:type="dxa"/>
            <w:tcBorders>
              <w:top w:val="nil"/>
              <w:left w:val="nil"/>
              <w:bottom w:val="single" w:sz="8" w:space="0" w:color="auto"/>
              <w:right w:val="single" w:sz="8" w:space="0" w:color="auto"/>
            </w:tcBorders>
            <w:shd w:val="clear" w:color="auto" w:fill="auto"/>
            <w:vAlign w:val="center"/>
            <w:hideMark/>
          </w:tcPr>
          <w:p w14:paraId="7D8458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53D418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E77C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Generowanie na koniec dnia Raportu Kasowego (RK).</w:t>
            </w:r>
          </w:p>
        </w:tc>
        <w:tc>
          <w:tcPr>
            <w:tcW w:w="850" w:type="dxa"/>
            <w:tcBorders>
              <w:top w:val="nil"/>
              <w:left w:val="nil"/>
              <w:bottom w:val="single" w:sz="8" w:space="0" w:color="auto"/>
              <w:right w:val="single" w:sz="8" w:space="0" w:color="auto"/>
            </w:tcBorders>
            <w:shd w:val="clear" w:color="auto" w:fill="auto"/>
            <w:vAlign w:val="center"/>
            <w:hideMark/>
          </w:tcPr>
          <w:p w14:paraId="588EB1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5D1D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0724A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Automatyczne nadawanie numeru kolejnego RK.</w:t>
            </w:r>
          </w:p>
        </w:tc>
        <w:tc>
          <w:tcPr>
            <w:tcW w:w="850" w:type="dxa"/>
            <w:tcBorders>
              <w:top w:val="nil"/>
              <w:left w:val="nil"/>
              <w:bottom w:val="single" w:sz="8" w:space="0" w:color="auto"/>
              <w:right w:val="single" w:sz="8" w:space="0" w:color="auto"/>
            </w:tcBorders>
            <w:shd w:val="clear" w:color="auto" w:fill="auto"/>
            <w:vAlign w:val="center"/>
            <w:hideMark/>
          </w:tcPr>
          <w:p w14:paraId="0F1590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B00A35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348A9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anulowania przed zatwierdzeniem ostatniej pozycji RK.</w:t>
            </w:r>
          </w:p>
        </w:tc>
        <w:tc>
          <w:tcPr>
            <w:tcW w:w="850" w:type="dxa"/>
            <w:tcBorders>
              <w:top w:val="nil"/>
              <w:left w:val="nil"/>
              <w:bottom w:val="single" w:sz="8" w:space="0" w:color="auto"/>
              <w:right w:val="single" w:sz="8" w:space="0" w:color="auto"/>
            </w:tcBorders>
            <w:shd w:val="clear" w:color="auto" w:fill="auto"/>
            <w:vAlign w:val="center"/>
            <w:hideMark/>
          </w:tcPr>
          <w:p w14:paraId="3EB5440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A19C9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86A9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Brak możliwości modyfikacji/kasowania zatwierdzonego dokumentu.</w:t>
            </w:r>
          </w:p>
        </w:tc>
        <w:tc>
          <w:tcPr>
            <w:tcW w:w="850" w:type="dxa"/>
            <w:tcBorders>
              <w:top w:val="nil"/>
              <w:left w:val="nil"/>
              <w:bottom w:val="single" w:sz="8" w:space="0" w:color="auto"/>
              <w:right w:val="single" w:sz="8" w:space="0" w:color="auto"/>
            </w:tcBorders>
            <w:shd w:val="clear" w:color="auto" w:fill="auto"/>
            <w:vAlign w:val="center"/>
            <w:hideMark/>
          </w:tcPr>
          <w:p w14:paraId="3333BB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B0D2E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006F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Podgląd stanu kas na dowolnie wybrany moment - saldo po każdej operacji.</w:t>
            </w:r>
          </w:p>
        </w:tc>
        <w:tc>
          <w:tcPr>
            <w:tcW w:w="850" w:type="dxa"/>
            <w:tcBorders>
              <w:top w:val="nil"/>
              <w:left w:val="nil"/>
              <w:bottom w:val="single" w:sz="8" w:space="0" w:color="auto"/>
              <w:right w:val="single" w:sz="8" w:space="0" w:color="auto"/>
            </w:tcBorders>
            <w:shd w:val="clear" w:color="auto" w:fill="auto"/>
            <w:vAlign w:val="center"/>
            <w:hideMark/>
          </w:tcPr>
          <w:p w14:paraId="44BC68C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A647F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B44CC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Zaawansowany mechanizm wyszukiwania kontrahenta przy wprowadzaniu zapłat - możliwość szukania po wszystkich danych ewidencyjnych.</w:t>
            </w:r>
          </w:p>
        </w:tc>
        <w:tc>
          <w:tcPr>
            <w:tcW w:w="850" w:type="dxa"/>
            <w:tcBorders>
              <w:top w:val="nil"/>
              <w:left w:val="nil"/>
              <w:bottom w:val="single" w:sz="8" w:space="0" w:color="auto"/>
              <w:right w:val="single" w:sz="8" w:space="0" w:color="auto"/>
            </w:tcBorders>
            <w:shd w:val="clear" w:color="auto" w:fill="auto"/>
            <w:vAlign w:val="center"/>
            <w:hideMark/>
          </w:tcPr>
          <w:p w14:paraId="06F24D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1687F3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228D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Dostęp do kartoteki kontrahenta i jego rozrachunków z poziomu wprowadzanego dokumentu.</w:t>
            </w:r>
          </w:p>
        </w:tc>
        <w:tc>
          <w:tcPr>
            <w:tcW w:w="850" w:type="dxa"/>
            <w:tcBorders>
              <w:top w:val="nil"/>
              <w:left w:val="nil"/>
              <w:bottom w:val="single" w:sz="8" w:space="0" w:color="auto"/>
              <w:right w:val="single" w:sz="8" w:space="0" w:color="auto"/>
            </w:tcBorders>
            <w:shd w:val="clear" w:color="auto" w:fill="auto"/>
            <w:vAlign w:val="center"/>
            <w:hideMark/>
          </w:tcPr>
          <w:p w14:paraId="4E89A41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1D9464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E617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podglądu wydruku.</w:t>
            </w:r>
          </w:p>
        </w:tc>
        <w:tc>
          <w:tcPr>
            <w:tcW w:w="850" w:type="dxa"/>
            <w:tcBorders>
              <w:top w:val="nil"/>
              <w:left w:val="nil"/>
              <w:bottom w:val="single" w:sz="8" w:space="0" w:color="auto"/>
              <w:right w:val="single" w:sz="8" w:space="0" w:color="auto"/>
            </w:tcBorders>
            <w:shd w:val="clear" w:color="auto" w:fill="auto"/>
            <w:vAlign w:val="center"/>
            <w:hideMark/>
          </w:tcPr>
          <w:p w14:paraId="46143F9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79C95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69B5E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G. BANK</w:t>
            </w:r>
          </w:p>
        </w:tc>
        <w:tc>
          <w:tcPr>
            <w:tcW w:w="850" w:type="dxa"/>
            <w:tcBorders>
              <w:top w:val="nil"/>
              <w:left w:val="nil"/>
              <w:bottom w:val="single" w:sz="8" w:space="0" w:color="auto"/>
              <w:right w:val="single" w:sz="8" w:space="0" w:color="auto"/>
            </w:tcBorders>
            <w:shd w:val="clear" w:color="000000" w:fill="A6A6A6"/>
            <w:vAlign w:val="center"/>
            <w:hideMark/>
          </w:tcPr>
          <w:p w14:paraId="0D7474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728AE1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1EC46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Zdefiniowanie dowolnej liczby rachunków bankowych.</w:t>
            </w:r>
          </w:p>
        </w:tc>
        <w:tc>
          <w:tcPr>
            <w:tcW w:w="850" w:type="dxa"/>
            <w:tcBorders>
              <w:top w:val="nil"/>
              <w:left w:val="nil"/>
              <w:bottom w:val="single" w:sz="8" w:space="0" w:color="auto"/>
              <w:right w:val="single" w:sz="8" w:space="0" w:color="auto"/>
            </w:tcBorders>
            <w:shd w:val="clear" w:color="auto" w:fill="auto"/>
            <w:vAlign w:val="center"/>
            <w:hideMark/>
          </w:tcPr>
          <w:p w14:paraId="0060A86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5C2377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AA7C5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Obsługa rachunków bankowych w dowolnej walucie.</w:t>
            </w:r>
          </w:p>
        </w:tc>
        <w:tc>
          <w:tcPr>
            <w:tcW w:w="850" w:type="dxa"/>
            <w:tcBorders>
              <w:top w:val="nil"/>
              <w:left w:val="nil"/>
              <w:bottom w:val="single" w:sz="8" w:space="0" w:color="auto"/>
              <w:right w:val="single" w:sz="8" w:space="0" w:color="auto"/>
            </w:tcBorders>
            <w:shd w:val="clear" w:color="auto" w:fill="auto"/>
            <w:vAlign w:val="center"/>
            <w:hideMark/>
          </w:tcPr>
          <w:p w14:paraId="3D703C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2BB2C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D6B2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Przydział uprawnień operatorów do poszczególnych rachunków bankowych.</w:t>
            </w:r>
          </w:p>
        </w:tc>
        <w:tc>
          <w:tcPr>
            <w:tcW w:w="850" w:type="dxa"/>
            <w:tcBorders>
              <w:top w:val="nil"/>
              <w:left w:val="nil"/>
              <w:bottom w:val="single" w:sz="8" w:space="0" w:color="auto"/>
              <w:right w:val="single" w:sz="8" w:space="0" w:color="auto"/>
            </w:tcBorders>
            <w:shd w:val="clear" w:color="auto" w:fill="auto"/>
            <w:vAlign w:val="center"/>
            <w:hideMark/>
          </w:tcPr>
          <w:p w14:paraId="058937B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DF5E53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75B4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wprowadzania tego samego wyciągu przez dwie osoby równocześnie.</w:t>
            </w:r>
          </w:p>
        </w:tc>
        <w:tc>
          <w:tcPr>
            <w:tcW w:w="850" w:type="dxa"/>
            <w:tcBorders>
              <w:top w:val="nil"/>
              <w:left w:val="nil"/>
              <w:bottom w:val="single" w:sz="8" w:space="0" w:color="auto"/>
              <w:right w:val="single" w:sz="8" w:space="0" w:color="auto"/>
            </w:tcBorders>
            <w:shd w:val="clear" w:color="auto" w:fill="auto"/>
            <w:vAlign w:val="center"/>
            <w:hideMark/>
          </w:tcPr>
          <w:p w14:paraId="45A09EB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171731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6655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modyfikacji pozycji wyciągu bankowego – poprawianie błędów bądź dopisywanie pozycji.</w:t>
            </w:r>
          </w:p>
        </w:tc>
        <w:tc>
          <w:tcPr>
            <w:tcW w:w="850" w:type="dxa"/>
            <w:tcBorders>
              <w:top w:val="nil"/>
              <w:left w:val="nil"/>
              <w:bottom w:val="single" w:sz="8" w:space="0" w:color="auto"/>
              <w:right w:val="single" w:sz="8" w:space="0" w:color="auto"/>
            </w:tcBorders>
            <w:shd w:val="clear" w:color="auto" w:fill="auto"/>
            <w:vAlign w:val="center"/>
            <w:hideMark/>
          </w:tcPr>
          <w:p w14:paraId="79E3564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C399B6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5984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równoczesnej pracy na kilku wyciągach bankowych tego samego rachunku bankowego z automatycznym przeliczaniem stanów początkowych i końcowych w momencie chronologicznego zatwierdzania wyciągów.</w:t>
            </w:r>
          </w:p>
        </w:tc>
        <w:tc>
          <w:tcPr>
            <w:tcW w:w="850" w:type="dxa"/>
            <w:tcBorders>
              <w:top w:val="nil"/>
              <w:left w:val="nil"/>
              <w:bottom w:val="single" w:sz="8" w:space="0" w:color="auto"/>
              <w:right w:val="single" w:sz="8" w:space="0" w:color="auto"/>
            </w:tcBorders>
            <w:shd w:val="clear" w:color="auto" w:fill="auto"/>
            <w:vAlign w:val="center"/>
            <w:hideMark/>
          </w:tcPr>
          <w:p w14:paraId="3D47F2C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D7BA87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0A9E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zapisywania uwag do płatności – pole info.</w:t>
            </w:r>
          </w:p>
        </w:tc>
        <w:tc>
          <w:tcPr>
            <w:tcW w:w="850" w:type="dxa"/>
            <w:tcBorders>
              <w:top w:val="nil"/>
              <w:left w:val="nil"/>
              <w:bottom w:val="single" w:sz="8" w:space="0" w:color="auto"/>
              <w:right w:val="single" w:sz="8" w:space="0" w:color="auto"/>
            </w:tcBorders>
            <w:shd w:val="clear" w:color="auto" w:fill="auto"/>
            <w:vAlign w:val="center"/>
            <w:hideMark/>
          </w:tcPr>
          <w:p w14:paraId="47817B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6C4DC6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FA72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Dokumenty bankowe wielopozycyjne.</w:t>
            </w:r>
          </w:p>
        </w:tc>
        <w:tc>
          <w:tcPr>
            <w:tcW w:w="850" w:type="dxa"/>
            <w:tcBorders>
              <w:top w:val="nil"/>
              <w:left w:val="nil"/>
              <w:bottom w:val="single" w:sz="8" w:space="0" w:color="auto"/>
              <w:right w:val="single" w:sz="8" w:space="0" w:color="auto"/>
            </w:tcBorders>
            <w:shd w:val="clear" w:color="auto" w:fill="auto"/>
            <w:vAlign w:val="center"/>
            <w:hideMark/>
          </w:tcPr>
          <w:p w14:paraId="71FF35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B72673"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4744E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Przy wprowadzaniu pozycji wyciągu bankowego możliwość powoływania się na rodzaj dokumentu (symbol rodzaju dokumentu do którego nastąpiła płatność) – np. LP, DO, SP oraz wskazania konkretnego dokumentu.</w:t>
            </w:r>
          </w:p>
        </w:tc>
        <w:tc>
          <w:tcPr>
            <w:tcW w:w="850" w:type="dxa"/>
            <w:tcBorders>
              <w:top w:val="nil"/>
              <w:left w:val="nil"/>
              <w:bottom w:val="single" w:sz="8" w:space="0" w:color="auto"/>
              <w:right w:val="single" w:sz="8" w:space="0" w:color="auto"/>
            </w:tcBorders>
            <w:shd w:val="clear" w:color="auto" w:fill="auto"/>
            <w:vAlign w:val="center"/>
            <w:hideMark/>
          </w:tcPr>
          <w:p w14:paraId="2E2A95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B74F3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4ACB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Automatyczna numeracja wyciągu bankowego zgodna z numeracją banku.</w:t>
            </w:r>
          </w:p>
        </w:tc>
        <w:tc>
          <w:tcPr>
            <w:tcW w:w="850" w:type="dxa"/>
            <w:tcBorders>
              <w:top w:val="nil"/>
              <w:left w:val="nil"/>
              <w:bottom w:val="single" w:sz="8" w:space="0" w:color="auto"/>
              <w:right w:val="single" w:sz="8" w:space="0" w:color="auto"/>
            </w:tcBorders>
            <w:shd w:val="clear" w:color="auto" w:fill="auto"/>
            <w:vAlign w:val="center"/>
            <w:hideMark/>
          </w:tcPr>
          <w:p w14:paraId="4B6A7F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364B8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67EC3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wprowadzania zerowych wyciągów bankowych.</w:t>
            </w:r>
          </w:p>
        </w:tc>
        <w:tc>
          <w:tcPr>
            <w:tcW w:w="850" w:type="dxa"/>
            <w:tcBorders>
              <w:top w:val="nil"/>
              <w:left w:val="nil"/>
              <w:bottom w:val="single" w:sz="8" w:space="0" w:color="auto"/>
              <w:right w:val="single" w:sz="8" w:space="0" w:color="auto"/>
            </w:tcBorders>
            <w:shd w:val="clear" w:color="auto" w:fill="auto"/>
            <w:vAlign w:val="center"/>
            <w:hideMark/>
          </w:tcPr>
          <w:p w14:paraId="1BDCF8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E94A1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FB30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Dostęp do kartoteki kontrahenta i jego rozrachunków z poziomu wprowadzanego dokumentu.</w:t>
            </w:r>
          </w:p>
        </w:tc>
        <w:tc>
          <w:tcPr>
            <w:tcW w:w="850" w:type="dxa"/>
            <w:tcBorders>
              <w:top w:val="nil"/>
              <w:left w:val="nil"/>
              <w:bottom w:val="single" w:sz="8" w:space="0" w:color="auto"/>
              <w:right w:val="single" w:sz="8" w:space="0" w:color="auto"/>
            </w:tcBorders>
            <w:shd w:val="clear" w:color="auto" w:fill="auto"/>
            <w:vAlign w:val="center"/>
            <w:hideMark/>
          </w:tcPr>
          <w:p w14:paraId="678B6D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49199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CC4B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Ergonomiczne rejestrowanie wpłat – przy jak najmniejszej ilości operacji.</w:t>
            </w:r>
          </w:p>
        </w:tc>
        <w:tc>
          <w:tcPr>
            <w:tcW w:w="850" w:type="dxa"/>
            <w:tcBorders>
              <w:top w:val="nil"/>
              <w:left w:val="nil"/>
              <w:bottom w:val="single" w:sz="8" w:space="0" w:color="auto"/>
              <w:right w:val="single" w:sz="8" w:space="0" w:color="auto"/>
            </w:tcBorders>
            <w:shd w:val="clear" w:color="auto" w:fill="auto"/>
            <w:vAlign w:val="center"/>
            <w:hideMark/>
          </w:tcPr>
          <w:p w14:paraId="427053B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E9B05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672B2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importowania wyciągu bankowego z pliku dostarczonego przez Bank.</w:t>
            </w:r>
          </w:p>
        </w:tc>
        <w:tc>
          <w:tcPr>
            <w:tcW w:w="850" w:type="dxa"/>
            <w:tcBorders>
              <w:top w:val="nil"/>
              <w:left w:val="nil"/>
              <w:bottom w:val="single" w:sz="8" w:space="0" w:color="auto"/>
              <w:right w:val="single" w:sz="8" w:space="0" w:color="auto"/>
            </w:tcBorders>
            <w:shd w:val="clear" w:color="auto" w:fill="auto"/>
            <w:vAlign w:val="center"/>
            <w:hideMark/>
          </w:tcPr>
          <w:p w14:paraId="3DEEDE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ABF85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1FA9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ręcznego wprowadzania wyciągów bankowych.</w:t>
            </w:r>
          </w:p>
        </w:tc>
        <w:tc>
          <w:tcPr>
            <w:tcW w:w="850" w:type="dxa"/>
            <w:tcBorders>
              <w:top w:val="nil"/>
              <w:left w:val="nil"/>
              <w:bottom w:val="single" w:sz="8" w:space="0" w:color="auto"/>
              <w:right w:val="single" w:sz="8" w:space="0" w:color="auto"/>
            </w:tcBorders>
            <w:shd w:val="clear" w:color="auto" w:fill="auto"/>
            <w:vAlign w:val="center"/>
            <w:hideMark/>
          </w:tcPr>
          <w:p w14:paraId="40C83BD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4FAEB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63615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H. ZALICZKI</w:t>
            </w:r>
          </w:p>
        </w:tc>
        <w:tc>
          <w:tcPr>
            <w:tcW w:w="850" w:type="dxa"/>
            <w:tcBorders>
              <w:top w:val="nil"/>
              <w:left w:val="nil"/>
              <w:bottom w:val="single" w:sz="8" w:space="0" w:color="auto"/>
              <w:right w:val="single" w:sz="8" w:space="0" w:color="auto"/>
            </w:tcBorders>
            <w:shd w:val="clear" w:color="000000" w:fill="A6A6A6"/>
            <w:vAlign w:val="center"/>
            <w:hideMark/>
          </w:tcPr>
          <w:p w14:paraId="1B9A66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E65E64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ED489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Rejestr zaliczek wypłaconych pracownikom.</w:t>
            </w:r>
          </w:p>
        </w:tc>
        <w:tc>
          <w:tcPr>
            <w:tcW w:w="850" w:type="dxa"/>
            <w:tcBorders>
              <w:top w:val="nil"/>
              <w:left w:val="nil"/>
              <w:bottom w:val="single" w:sz="8" w:space="0" w:color="auto"/>
              <w:right w:val="single" w:sz="8" w:space="0" w:color="auto"/>
            </w:tcBorders>
            <w:shd w:val="clear" w:color="auto" w:fill="auto"/>
            <w:vAlign w:val="center"/>
            <w:hideMark/>
          </w:tcPr>
          <w:p w14:paraId="5E069A9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99E42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4108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Lista wypłaconych i nierozliczonych zaliczek.</w:t>
            </w:r>
          </w:p>
        </w:tc>
        <w:tc>
          <w:tcPr>
            <w:tcW w:w="850" w:type="dxa"/>
            <w:tcBorders>
              <w:top w:val="nil"/>
              <w:left w:val="nil"/>
              <w:bottom w:val="single" w:sz="8" w:space="0" w:color="auto"/>
              <w:right w:val="single" w:sz="8" w:space="0" w:color="auto"/>
            </w:tcBorders>
            <w:shd w:val="clear" w:color="auto" w:fill="auto"/>
            <w:vAlign w:val="center"/>
            <w:hideMark/>
          </w:tcPr>
          <w:p w14:paraId="67EDA32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D13805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D311E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Lista zaliczek rozliczonych.</w:t>
            </w:r>
          </w:p>
        </w:tc>
        <w:tc>
          <w:tcPr>
            <w:tcW w:w="850" w:type="dxa"/>
            <w:tcBorders>
              <w:top w:val="nil"/>
              <w:left w:val="nil"/>
              <w:bottom w:val="single" w:sz="8" w:space="0" w:color="auto"/>
              <w:right w:val="single" w:sz="8" w:space="0" w:color="auto"/>
            </w:tcBorders>
            <w:shd w:val="clear" w:color="auto" w:fill="auto"/>
            <w:vAlign w:val="center"/>
            <w:hideMark/>
          </w:tcPr>
          <w:p w14:paraId="30627AF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7D16F3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2E543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Lista zaliczek przyjętych od kontrahentów.</w:t>
            </w:r>
          </w:p>
        </w:tc>
        <w:tc>
          <w:tcPr>
            <w:tcW w:w="850" w:type="dxa"/>
            <w:tcBorders>
              <w:top w:val="nil"/>
              <w:left w:val="nil"/>
              <w:bottom w:val="single" w:sz="8" w:space="0" w:color="auto"/>
              <w:right w:val="single" w:sz="8" w:space="0" w:color="auto"/>
            </w:tcBorders>
            <w:shd w:val="clear" w:color="auto" w:fill="auto"/>
            <w:vAlign w:val="center"/>
            <w:hideMark/>
          </w:tcPr>
          <w:p w14:paraId="0C61324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BB42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A32D3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rozliczania zaliczek w systemie - powiązanie faktur z konkretną zaliczką i wydruk dokumentu rozliczenia zaliczki dla kasy.</w:t>
            </w:r>
          </w:p>
        </w:tc>
        <w:tc>
          <w:tcPr>
            <w:tcW w:w="850" w:type="dxa"/>
            <w:tcBorders>
              <w:top w:val="nil"/>
              <w:left w:val="nil"/>
              <w:bottom w:val="single" w:sz="8" w:space="0" w:color="auto"/>
              <w:right w:val="single" w:sz="8" w:space="0" w:color="auto"/>
            </w:tcBorders>
            <w:shd w:val="clear" w:color="auto" w:fill="auto"/>
            <w:vAlign w:val="center"/>
            <w:hideMark/>
          </w:tcPr>
          <w:p w14:paraId="770974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F526AD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DFCC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definiowania typów zaliczek np. na zakupy, na delegację, itp.</w:t>
            </w:r>
          </w:p>
        </w:tc>
        <w:tc>
          <w:tcPr>
            <w:tcW w:w="850" w:type="dxa"/>
            <w:tcBorders>
              <w:top w:val="nil"/>
              <w:left w:val="nil"/>
              <w:bottom w:val="single" w:sz="8" w:space="0" w:color="auto"/>
              <w:right w:val="single" w:sz="8" w:space="0" w:color="auto"/>
            </w:tcBorders>
            <w:shd w:val="clear" w:color="auto" w:fill="auto"/>
            <w:vAlign w:val="center"/>
            <w:hideMark/>
          </w:tcPr>
          <w:p w14:paraId="26A97DF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8884E9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D9621E"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 PŁATNOŚCI</w:t>
            </w:r>
          </w:p>
        </w:tc>
        <w:tc>
          <w:tcPr>
            <w:tcW w:w="850" w:type="dxa"/>
            <w:tcBorders>
              <w:top w:val="nil"/>
              <w:left w:val="nil"/>
              <w:bottom w:val="single" w:sz="8" w:space="0" w:color="auto"/>
              <w:right w:val="single" w:sz="8" w:space="0" w:color="auto"/>
            </w:tcBorders>
            <w:shd w:val="clear" w:color="000000" w:fill="A6A6A6"/>
            <w:vAlign w:val="center"/>
            <w:hideMark/>
          </w:tcPr>
          <w:p w14:paraId="5995F2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947D7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3BD8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Automatyczne generowanie przelewu w systemie po rejestracji dokumentu.</w:t>
            </w:r>
          </w:p>
        </w:tc>
        <w:tc>
          <w:tcPr>
            <w:tcW w:w="850" w:type="dxa"/>
            <w:tcBorders>
              <w:top w:val="nil"/>
              <w:left w:val="nil"/>
              <w:bottom w:val="single" w:sz="8" w:space="0" w:color="auto"/>
              <w:right w:val="single" w:sz="8" w:space="0" w:color="auto"/>
            </w:tcBorders>
            <w:shd w:val="clear" w:color="auto" w:fill="auto"/>
            <w:vAlign w:val="center"/>
            <w:hideMark/>
          </w:tcPr>
          <w:p w14:paraId="22ED00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86101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19F4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dopisywania przelewów bez dokumentu źródłowego przez uprawnionego użytkownika.</w:t>
            </w:r>
          </w:p>
        </w:tc>
        <w:tc>
          <w:tcPr>
            <w:tcW w:w="850" w:type="dxa"/>
            <w:tcBorders>
              <w:top w:val="nil"/>
              <w:left w:val="nil"/>
              <w:bottom w:val="single" w:sz="8" w:space="0" w:color="auto"/>
              <w:right w:val="single" w:sz="8" w:space="0" w:color="auto"/>
            </w:tcBorders>
            <w:shd w:val="clear" w:color="auto" w:fill="auto"/>
            <w:vAlign w:val="center"/>
            <w:hideMark/>
          </w:tcPr>
          <w:p w14:paraId="02B8CC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D0ABA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2319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modyfikacji automatycznie wygenerowanego przelewu.</w:t>
            </w:r>
          </w:p>
        </w:tc>
        <w:tc>
          <w:tcPr>
            <w:tcW w:w="850" w:type="dxa"/>
            <w:tcBorders>
              <w:top w:val="nil"/>
              <w:left w:val="nil"/>
              <w:bottom w:val="single" w:sz="8" w:space="0" w:color="auto"/>
              <w:right w:val="single" w:sz="8" w:space="0" w:color="auto"/>
            </w:tcBorders>
            <w:shd w:val="clear" w:color="auto" w:fill="auto"/>
            <w:vAlign w:val="center"/>
            <w:hideMark/>
          </w:tcPr>
          <w:p w14:paraId="3D9D91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2AA95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5518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Lista przelewów oczekujących.</w:t>
            </w:r>
          </w:p>
        </w:tc>
        <w:tc>
          <w:tcPr>
            <w:tcW w:w="850" w:type="dxa"/>
            <w:tcBorders>
              <w:top w:val="nil"/>
              <w:left w:val="nil"/>
              <w:bottom w:val="single" w:sz="8" w:space="0" w:color="auto"/>
              <w:right w:val="single" w:sz="8" w:space="0" w:color="auto"/>
            </w:tcBorders>
            <w:shd w:val="clear" w:color="auto" w:fill="auto"/>
            <w:vAlign w:val="center"/>
            <w:hideMark/>
          </w:tcPr>
          <w:p w14:paraId="1B913F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3E6F1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AFF76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Zatwierdzanie przelewów do płatności z listy przelewów.</w:t>
            </w:r>
          </w:p>
        </w:tc>
        <w:tc>
          <w:tcPr>
            <w:tcW w:w="850" w:type="dxa"/>
            <w:tcBorders>
              <w:top w:val="nil"/>
              <w:left w:val="nil"/>
              <w:bottom w:val="single" w:sz="8" w:space="0" w:color="auto"/>
              <w:right w:val="single" w:sz="8" w:space="0" w:color="auto"/>
            </w:tcBorders>
            <w:shd w:val="clear" w:color="auto" w:fill="auto"/>
            <w:vAlign w:val="center"/>
            <w:hideMark/>
          </w:tcPr>
          <w:p w14:paraId="3AB3011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0E0F7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383F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wyboru rachunku bankowego kontrahenta, na który ma zostać dokonana płatność zobowiązania.</w:t>
            </w:r>
          </w:p>
        </w:tc>
        <w:tc>
          <w:tcPr>
            <w:tcW w:w="850" w:type="dxa"/>
            <w:tcBorders>
              <w:top w:val="nil"/>
              <w:left w:val="nil"/>
              <w:bottom w:val="single" w:sz="8" w:space="0" w:color="auto"/>
              <w:right w:val="single" w:sz="8" w:space="0" w:color="auto"/>
            </w:tcBorders>
            <w:shd w:val="clear" w:color="auto" w:fill="auto"/>
            <w:vAlign w:val="center"/>
            <w:hideMark/>
          </w:tcPr>
          <w:p w14:paraId="66E0B85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499AD0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744B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7. Możliwość wyboru rachunku bankowego, z którego ma zostać dokonana płatność przelewu</w:t>
            </w:r>
          </w:p>
        </w:tc>
        <w:tc>
          <w:tcPr>
            <w:tcW w:w="850" w:type="dxa"/>
            <w:tcBorders>
              <w:top w:val="nil"/>
              <w:left w:val="nil"/>
              <w:bottom w:val="single" w:sz="8" w:space="0" w:color="auto"/>
              <w:right w:val="single" w:sz="8" w:space="0" w:color="auto"/>
            </w:tcBorders>
            <w:shd w:val="clear" w:color="auto" w:fill="auto"/>
            <w:vAlign w:val="center"/>
            <w:hideMark/>
          </w:tcPr>
          <w:p w14:paraId="2C75F7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BA838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90D52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płatności do komornika, podwykonawcy.</w:t>
            </w:r>
          </w:p>
        </w:tc>
        <w:tc>
          <w:tcPr>
            <w:tcW w:w="850" w:type="dxa"/>
            <w:tcBorders>
              <w:top w:val="nil"/>
              <w:left w:val="nil"/>
              <w:bottom w:val="single" w:sz="8" w:space="0" w:color="auto"/>
              <w:right w:val="single" w:sz="8" w:space="0" w:color="auto"/>
            </w:tcBorders>
            <w:shd w:val="clear" w:color="auto" w:fill="auto"/>
            <w:vAlign w:val="center"/>
            <w:hideMark/>
          </w:tcPr>
          <w:p w14:paraId="0D4DA4D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865D0D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53E8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wprowadzenia częściowej zapłaty.</w:t>
            </w:r>
          </w:p>
        </w:tc>
        <w:tc>
          <w:tcPr>
            <w:tcW w:w="850" w:type="dxa"/>
            <w:tcBorders>
              <w:top w:val="nil"/>
              <w:left w:val="nil"/>
              <w:bottom w:val="single" w:sz="8" w:space="0" w:color="auto"/>
              <w:right w:val="single" w:sz="8" w:space="0" w:color="auto"/>
            </w:tcBorders>
            <w:shd w:val="clear" w:color="auto" w:fill="auto"/>
            <w:vAlign w:val="center"/>
            <w:hideMark/>
          </w:tcPr>
          <w:p w14:paraId="69FEA0A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1F8D2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0A1F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płatności ratalnych.</w:t>
            </w:r>
          </w:p>
        </w:tc>
        <w:tc>
          <w:tcPr>
            <w:tcW w:w="850" w:type="dxa"/>
            <w:tcBorders>
              <w:top w:val="nil"/>
              <w:left w:val="nil"/>
              <w:bottom w:val="single" w:sz="8" w:space="0" w:color="auto"/>
              <w:right w:val="single" w:sz="8" w:space="0" w:color="auto"/>
            </w:tcBorders>
            <w:shd w:val="clear" w:color="auto" w:fill="auto"/>
            <w:vAlign w:val="center"/>
            <w:hideMark/>
          </w:tcPr>
          <w:p w14:paraId="1059DA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22F52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77F8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Weryfikacja przelewu z Białą listą podatników.</w:t>
            </w:r>
          </w:p>
        </w:tc>
        <w:tc>
          <w:tcPr>
            <w:tcW w:w="850" w:type="dxa"/>
            <w:tcBorders>
              <w:top w:val="nil"/>
              <w:left w:val="nil"/>
              <w:bottom w:val="single" w:sz="8" w:space="0" w:color="auto"/>
              <w:right w:val="single" w:sz="8" w:space="0" w:color="auto"/>
            </w:tcBorders>
            <w:shd w:val="clear" w:color="auto" w:fill="auto"/>
            <w:vAlign w:val="center"/>
            <w:hideMark/>
          </w:tcPr>
          <w:p w14:paraId="6877AC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1D8664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8A7AB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Płatność z zastosowanie mechanizmu podzielonej płatności.</w:t>
            </w:r>
          </w:p>
        </w:tc>
        <w:tc>
          <w:tcPr>
            <w:tcW w:w="850" w:type="dxa"/>
            <w:tcBorders>
              <w:top w:val="nil"/>
              <w:left w:val="nil"/>
              <w:bottom w:val="single" w:sz="8" w:space="0" w:color="auto"/>
              <w:right w:val="single" w:sz="8" w:space="0" w:color="auto"/>
            </w:tcBorders>
            <w:shd w:val="clear" w:color="auto" w:fill="auto"/>
            <w:vAlign w:val="center"/>
            <w:hideMark/>
          </w:tcPr>
          <w:p w14:paraId="6792B2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BE82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D854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Współpraca z bankowością elektroniczną w zakresie eksportu przelewów.</w:t>
            </w:r>
          </w:p>
        </w:tc>
        <w:tc>
          <w:tcPr>
            <w:tcW w:w="850" w:type="dxa"/>
            <w:tcBorders>
              <w:top w:val="nil"/>
              <w:left w:val="nil"/>
              <w:bottom w:val="single" w:sz="8" w:space="0" w:color="auto"/>
              <w:right w:val="single" w:sz="8" w:space="0" w:color="auto"/>
            </w:tcBorders>
            <w:shd w:val="clear" w:color="auto" w:fill="auto"/>
            <w:vAlign w:val="center"/>
            <w:hideMark/>
          </w:tcPr>
          <w:p w14:paraId="373C56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FF539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8DF9D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wygenerowania wykazu przelewów na dany okres np. dzień, tydzień, miesiąc.</w:t>
            </w:r>
          </w:p>
        </w:tc>
        <w:tc>
          <w:tcPr>
            <w:tcW w:w="850" w:type="dxa"/>
            <w:tcBorders>
              <w:top w:val="nil"/>
              <w:left w:val="nil"/>
              <w:bottom w:val="single" w:sz="8" w:space="0" w:color="auto"/>
              <w:right w:val="single" w:sz="8" w:space="0" w:color="auto"/>
            </w:tcBorders>
            <w:shd w:val="clear" w:color="auto" w:fill="auto"/>
            <w:vAlign w:val="center"/>
            <w:hideMark/>
          </w:tcPr>
          <w:p w14:paraId="2CB67D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FE666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37E0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Brak generowania przelewu dla faktur zapłaconych gotówką lub przedpłatą.</w:t>
            </w:r>
          </w:p>
        </w:tc>
        <w:tc>
          <w:tcPr>
            <w:tcW w:w="850" w:type="dxa"/>
            <w:tcBorders>
              <w:top w:val="nil"/>
              <w:left w:val="nil"/>
              <w:bottom w:val="single" w:sz="8" w:space="0" w:color="auto"/>
              <w:right w:val="single" w:sz="8" w:space="0" w:color="auto"/>
            </w:tcBorders>
            <w:shd w:val="clear" w:color="auto" w:fill="auto"/>
            <w:vAlign w:val="center"/>
            <w:hideMark/>
          </w:tcPr>
          <w:p w14:paraId="47AA15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9702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AA9C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wstrzymania płatności z opisem powodu wstrzymania.</w:t>
            </w:r>
          </w:p>
        </w:tc>
        <w:tc>
          <w:tcPr>
            <w:tcW w:w="850" w:type="dxa"/>
            <w:tcBorders>
              <w:top w:val="nil"/>
              <w:left w:val="nil"/>
              <w:bottom w:val="single" w:sz="8" w:space="0" w:color="auto"/>
              <w:right w:val="single" w:sz="8" w:space="0" w:color="auto"/>
            </w:tcBorders>
            <w:shd w:val="clear" w:color="auto" w:fill="auto"/>
            <w:vAlign w:val="center"/>
            <w:hideMark/>
          </w:tcPr>
          <w:p w14:paraId="304412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178EA4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3AC69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J. INNE</w:t>
            </w:r>
          </w:p>
        </w:tc>
        <w:tc>
          <w:tcPr>
            <w:tcW w:w="850" w:type="dxa"/>
            <w:tcBorders>
              <w:top w:val="nil"/>
              <w:left w:val="nil"/>
              <w:bottom w:val="single" w:sz="8" w:space="0" w:color="auto"/>
              <w:right w:val="single" w:sz="8" w:space="0" w:color="auto"/>
            </w:tcBorders>
            <w:shd w:val="clear" w:color="000000" w:fill="A6A6A6"/>
            <w:vAlign w:val="center"/>
            <w:hideMark/>
          </w:tcPr>
          <w:p w14:paraId="63E19E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B1164B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BFACC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zablokowania księgowania w danym okresie bez konieczności zamykania tego okresu.</w:t>
            </w:r>
          </w:p>
        </w:tc>
        <w:tc>
          <w:tcPr>
            <w:tcW w:w="850" w:type="dxa"/>
            <w:tcBorders>
              <w:top w:val="nil"/>
              <w:left w:val="nil"/>
              <w:bottom w:val="single" w:sz="8" w:space="0" w:color="auto"/>
              <w:right w:val="single" w:sz="8" w:space="0" w:color="auto"/>
            </w:tcBorders>
            <w:shd w:val="clear" w:color="auto" w:fill="auto"/>
            <w:vAlign w:val="center"/>
            <w:hideMark/>
          </w:tcPr>
          <w:p w14:paraId="325467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95B63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52AF2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Baza danych kontrahentów/pracowników – mechanizm ostrzegania przed założeniem wielu kartotek dla jednego kontrahenta.</w:t>
            </w:r>
          </w:p>
        </w:tc>
        <w:tc>
          <w:tcPr>
            <w:tcW w:w="850" w:type="dxa"/>
            <w:tcBorders>
              <w:top w:val="nil"/>
              <w:left w:val="nil"/>
              <w:bottom w:val="single" w:sz="8" w:space="0" w:color="auto"/>
              <w:right w:val="single" w:sz="8" w:space="0" w:color="auto"/>
            </w:tcBorders>
            <w:shd w:val="clear" w:color="auto" w:fill="auto"/>
            <w:vAlign w:val="center"/>
            <w:hideMark/>
          </w:tcPr>
          <w:p w14:paraId="20174FC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396C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F1C0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Funkcjonowanie procedury zamknięcia miesiąca i roku księgowego.</w:t>
            </w:r>
          </w:p>
        </w:tc>
        <w:tc>
          <w:tcPr>
            <w:tcW w:w="850" w:type="dxa"/>
            <w:tcBorders>
              <w:top w:val="nil"/>
              <w:left w:val="nil"/>
              <w:bottom w:val="single" w:sz="8" w:space="0" w:color="auto"/>
              <w:right w:val="single" w:sz="8" w:space="0" w:color="auto"/>
            </w:tcBorders>
            <w:shd w:val="clear" w:color="auto" w:fill="auto"/>
            <w:vAlign w:val="center"/>
            <w:hideMark/>
          </w:tcPr>
          <w:p w14:paraId="3267767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7D274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15D1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wyszukiwania z obrotów miesiąca/roku po wybranych frazach np. symbol rejestru, miesiąc FK, wartość, kwota WN/MA, nr dokumentu.</w:t>
            </w:r>
          </w:p>
        </w:tc>
        <w:tc>
          <w:tcPr>
            <w:tcW w:w="850" w:type="dxa"/>
            <w:tcBorders>
              <w:top w:val="nil"/>
              <w:left w:val="nil"/>
              <w:bottom w:val="single" w:sz="8" w:space="0" w:color="auto"/>
              <w:right w:val="single" w:sz="8" w:space="0" w:color="auto"/>
            </w:tcBorders>
            <w:shd w:val="clear" w:color="auto" w:fill="auto"/>
            <w:vAlign w:val="center"/>
            <w:hideMark/>
          </w:tcPr>
          <w:p w14:paraId="741E039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36CE2B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57A94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Oznaczenie i kontrola dla metody kasowej.</w:t>
            </w:r>
          </w:p>
        </w:tc>
        <w:tc>
          <w:tcPr>
            <w:tcW w:w="850" w:type="dxa"/>
            <w:tcBorders>
              <w:top w:val="nil"/>
              <w:left w:val="nil"/>
              <w:bottom w:val="single" w:sz="8" w:space="0" w:color="auto"/>
              <w:right w:val="single" w:sz="8" w:space="0" w:color="auto"/>
            </w:tcBorders>
            <w:shd w:val="clear" w:color="auto" w:fill="auto"/>
            <w:vAlign w:val="center"/>
            <w:hideMark/>
          </w:tcPr>
          <w:p w14:paraId="5805D94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40859D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4163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Obsługa przepływów pieniężnych w Spółce.</w:t>
            </w:r>
          </w:p>
        </w:tc>
        <w:tc>
          <w:tcPr>
            <w:tcW w:w="850" w:type="dxa"/>
            <w:tcBorders>
              <w:top w:val="nil"/>
              <w:left w:val="nil"/>
              <w:bottom w:val="single" w:sz="8" w:space="0" w:color="auto"/>
              <w:right w:val="single" w:sz="8" w:space="0" w:color="auto"/>
            </w:tcBorders>
            <w:shd w:val="clear" w:color="auto" w:fill="auto"/>
            <w:vAlign w:val="center"/>
            <w:hideMark/>
          </w:tcPr>
          <w:p w14:paraId="6E9C0F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C44070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6B11D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Raporty do zarządzania przewidywanymi wpływami oraz wydatkami na zadany okres.</w:t>
            </w:r>
          </w:p>
        </w:tc>
        <w:tc>
          <w:tcPr>
            <w:tcW w:w="850" w:type="dxa"/>
            <w:tcBorders>
              <w:top w:val="nil"/>
              <w:left w:val="nil"/>
              <w:bottom w:val="single" w:sz="8" w:space="0" w:color="auto"/>
              <w:right w:val="single" w:sz="8" w:space="0" w:color="auto"/>
            </w:tcBorders>
            <w:shd w:val="clear" w:color="auto" w:fill="auto"/>
            <w:vAlign w:val="center"/>
            <w:hideMark/>
          </w:tcPr>
          <w:p w14:paraId="4997B69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043CE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CEB1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8. Sprawozdanie z zatorów płatniczych.</w:t>
            </w:r>
          </w:p>
        </w:tc>
        <w:tc>
          <w:tcPr>
            <w:tcW w:w="850" w:type="dxa"/>
            <w:tcBorders>
              <w:top w:val="nil"/>
              <w:left w:val="nil"/>
              <w:bottom w:val="single" w:sz="8" w:space="0" w:color="auto"/>
              <w:right w:val="single" w:sz="8" w:space="0" w:color="auto"/>
            </w:tcBorders>
            <w:shd w:val="clear" w:color="auto" w:fill="auto"/>
            <w:vAlign w:val="center"/>
            <w:hideMark/>
          </w:tcPr>
          <w:p w14:paraId="6C85BF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17D655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A120B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obsługi lokat bankowych.</w:t>
            </w:r>
          </w:p>
        </w:tc>
        <w:tc>
          <w:tcPr>
            <w:tcW w:w="850" w:type="dxa"/>
            <w:tcBorders>
              <w:top w:val="nil"/>
              <w:left w:val="nil"/>
              <w:bottom w:val="single" w:sz="8" w:space="0" w:color="auto"/>
              <w:right w:val="single" w:sz="8" w:space="0" w:color="auto"/>
            </w:tcBorders>
            <w:shd w:val="clear" w:color="auto" w:fill="auto"/>
            <w:vAlign w:val="center"/>
            <w:hideMark/>
          </w:tcPr>
          <w:p w14:paraId="5B6FF7A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053D77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A67F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Słownik rodzajów dokumentów np. LP - lista płac, SP - sprzedaż, NP - noty przyjęte.</w:t>
            </w:r>
          </w:p>
        </w:tc>
        <w:tc>
          <w:tcPr>
            <w:tcW w:w="850" w:type="dxa"/>
            <w:tcBorders>
              <w:top w:val="nil"/>
              <w:left w:val="nil"/>
              <w:bottom w:val="single" w:sz="8" w:space="0" w:color="auto"/>
              <w:right w:val="single" w:sz="8" w:space="0" w:color="auto"/>
            </w:tcBorders>
            <w:shd w:val="clear" w:color="auto" w:fill="auto"/>
            <w:vAlign w:val="center"/>
            <w:hideMark/>
          </w:tcPr>
          <w:p w14:paraId="7875F56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D2B2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7DDDD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K. SPRAWOZDAWCZOŚĆ KSIĘGOWA I RAPORTOWANIE</w:t>
            </w:r>
          </w:p>
        </w:tc>
        <w:tc>
          <w:tcPr>
            <w:tcW w:w="850" w:type="dxa"/>
            <w:tcBorders>
              <w:top w:val="nil"/>
              <w:left w:val="nil"/>
              <w:bottom w:val="single" w:sz="8" w:space="0" w:color="auto"/>
              <w:right w:val="single" w:sz="8" w:space="0" w:color="auto"/>
            </w:tcBorders>
            <w:shd w:val="clear" w:color="000000" w:fill="A6A6A6"/>
            <w:vAlign w:val="center"/>
            <w:hideMark/>
          </w:tcPr>
          <w:p w14:paraId="76B4C4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32CA8DC"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08F38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System musi gwarantować możliwość wykonania zestawień i raportów z kont księgowych o następujących parametrach:</w:t>
            </w:r>
            <w:r w:rsidRPr="00B97E7A">
              <w:rPr>
                <w:rFonts w:ascii="Times New Roman" w:eastAsia="Times New Roman" w:hAnsi="Times New Roman" w:cs="Times New Roman"/>
                <w:kern w:val="0"/>
                <w:sz w:val="28"/>
                <w:szCs w:val="28"/>
                <w:lang w:eastAsia="pl-PL"/>
                <w14:ligatures w14:val="none"/>
              </w:rPr>
              <w:br/>
              <w:t>a) dowolny okres księgowy (w tym lata ubiegłe),</w:t>
            </w:r>
            <w:r w:rsidRPr="00B97E7A">
              <w:rPr>
                <w:rFonts w:ascii="Times New Roman" w:eastAsia="Times New Roman" w:hAnsi="Times New Roman" w:cs="Times New Roman"/>
                <w:kern w:val="0"/>
                <w:sz w:val="28"/>
                <w:szCs w:val="28"/>
                <w:lang w:eastAsia="pl-PL"/>
                <w14:ligatures w14:val="none"/>
              </w:rPr>
              <w:br/>
              <w:t>b) dowolny okres czasu,</w:t>
            </w:r>
            <w:r w:rsidRPr="00B97E7A">
              <w:rPr>
                <w:rFonts w:ascii="Times New Roman" w:eastAsia="Times New Roman" w:hAnsi="Times New Roman" w:cs="Times New Roman"/>
                <w:kern w:val="0"/>
                <w:sz w:val="28"/>
                <w:szCs w:val="28"/>
                <w:lang w:eastAsia="pl-PL"/>
                <w14:ligatures w14:val="none"/>
              </w:rPr>
              <w:br/>
              <w:t>c) wybrany zakres kont, dla więcej niż jednego konta syntetycznego,</w:t>
            </w:r>
            <w:r w:rsidRPr="00B97E7A">
              <w:rPr>
                <w:rFonts w:ascii="Times New Roman" w:eastAsia="Times New Roman" w:hAnsi="Times New Roman" w:cs="Times New Roman"/>
                <w:kern w:val="0"/>
                <w:sz w:val="28"/>
                <w:szCs w:val="28"/>
                <w:lang w:eastAsia="pl-PL"/>
                <w14:ligatures w14:val="none"/>
              </w:rPr>
              <w:br/>
              <w:t>d) dowolnie wybrana grupa projektów.</w:t>
            </w:r>
          </w:p>
        </w:tc>
        <w:tc>
          <w:tcPr>
            <w:tcW w:w="850" w:type="dxa"/>
            <w:tcBorders>
              <w:top w:val="nil"/>
              <w:left w:val="nil"/>
              <w:bottom w:val="single" w:sz="8" w:space="0" w:color="auto"/>
              <w:right w:val="single" w:sz="8" w:space="0" w:color="auto"/>
            </w:tcBorders>
            <w:shd w:val="clear" w:color="auto" w:fill="auto"/>
            <w:vAlign w:val="center"/>
            <w:hideMark/>
          </w:tcPr>
          <w:p w14:paraId="6F747EA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F61B12C"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56DD0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System musi umożliwić zdefiniowanie dowolnych sprawozdań finansowych (z możliwością modyfikacji przez użytkownika – zdefiniowane konta oraz wprowadzenie parametrów ręcznie) zgodnie z Ustawą o Rachunkowości, a w szczególności:</w:t>
            </w:r>
          </w:p>
        </w:tc>
        <w:tc>
          <w:tcPr>
            <w:tcW w:w="850" w:type="dxa"/>
            <w:tcBorders>
              <w:top w:val="nil"/>
              <w:left w:val="nil"/>
              <w:bottom w:val="single" w:sz="8" w:space="0" w:color="auto"/>
              <w:right w:val="single" w:sz="8" w:space="0" w:color="auto"/>
            </w:tcBorders>
            <w:shd w:val="clear" w:color="auto" w:fill="auto"/>
            <w:vAlign w:val="center"/>
            <w:hideMark/>
          </w:tcPr>
          <w:p w14:paraId="766B59D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12AC4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D69D6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Bilans,</w:t>
            </w:r>
          </w:p>
        </w:tc>
        <w:tc>
          <w:tcPr>
            <w:tcW w:w="850" w:type="dxa"/>
            <w:tcBorders>
              <w:top w:val="nil"/>
              <w:left w:val="nil"/>
              <w:bottom w:val="single" w:sz="8" w:space="0" w:color="auto"/>
              <w:right w:val="single" w:sz="8" w:space="0" w:color="auto"/>
            </w:tcBorders>
            <w:shd w:val="clear" w:color="auto" w:fill="auto"/>
            <w:vAlign w:val="center"/>
            <w:hideMark/>
          </w:tcPr>
          <w:p w14:paraId="1161700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8F021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6913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Rachunek zysków i strat w wariancie kalkulacyjnym i porównawczym,</w:t>
            </w:r>
          </w:p>
        </w:tc>
        <w:tc>
          <w:tcPr>
            <w:tcW w:w="850" w:type="dxa"/>
            <w:tcBorders>
              <w:top w:val="nil"/>
              <w:left w:val="nil"/>
              <w:bottom w:val="single" w:sz="8" w:space="0" w:color="auto"/>
              <w:right w:val="single" w:sz="8" w:space="0" w:color="auto"/>
            </w:tcBorders>
            <w:shd w:val="clear" w:color="auto" w:fill="auto"/>
            <w:vAlign w:val="center"/>
            <w:hideMark/>
          </w:tcPr>
          <w:p w14:paraId="3715C76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1B2BE9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4F61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Rachunek przepływów pieniężnych (wersja pośrednia i bezpośrednia),</w:t>
            </w:r>
          </w:p>
        </w:tc>
        <w:tc>
          <w:tcPr>
            <w:tcW w:w="850" w:type="dxa"/>
            <w:tcBorders>
              <w:top w:val="nil"/>
              <w:left w:val="nil"/>
              <w:bottom w:val="single" w:sz="8" w:space="0" w:color="auto"/>
              <w:right w:val="single" w:sz="8" w:space="0" w:color="auto"/>
            </w:tcBorders>
            <w:shd w:val="clear" w:color="auto" w:fill="auto"/>
            <w:vAlign w:val="center"/>
            <w:hideMark/>
          </w:tcPr>
          <w:p w14:paraId="26597A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391B20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1457C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Zestawienie zmian w kapitale.</w:t>
            </w:r>
          </w:p>
        </w:tc>
        <w:tc>
          <w:tcPr>
            <w:tcW w:w="850" w:type="dxa"/>
            <w:tcBorders>
              <w:top w:val="nil"/>
              <w:left w:val="nil"/>
              <w:bottom w:val="single" w:sz="8" w:space="0" w:color="auto"/>
              <w:right w:val="single" w:sz="8" w:space="0" w:color="auto"/>
            </w:tcBorders>
            <w:shd w:val="clear" w:color="auto" w:fill="auto"/>
            <w:vAlign w:val="center"/>
            <w:hideMark/>
          </w:tcPr>
          <w:p w14:paraId="71CD7F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14A363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67AF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System musi umożliwić zdefiniowanie oraz w przyszłości modyfikację przez użytkownika pozostałych sprawozdań i raportów na potrzeby organizacji (opartych na wspólnym słowniku), w tym:</w:t>
            </w:r>
          </w:p>
        </w:tc>
        <w:tc>
          <w:tcPr>
            <w:tcW w:w="850" w:type="dxa"/>
            <w:tcBorders>
              <w:top w:val="nil"/>
              <w:left w:val="nil"/>
              <w:bottom w:val="single" w:sz="8" w:space="0" w:color="auto"/>
              <w:right w:val="single" w:sz="8" w:space="0" w:color="auto"/>
            </w:tcBorders>
            <w:shd w:val="clear" w:color="auto" w:fill="auto"/>
            <w:vAlign w:val="center"/>
            <w:hideMark/>
          </w:tcPr>
          <w:p w14:paraId="1FC69B8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7AE282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0E5BC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Kalkulacja podatku dochodowego od osób prawnych,</w:t>
            </w:r>
          </w:p>
        </w:tc>
        <w:tc>
          <w:tcPr>
            <w:tcW w:w="850" w:type="dxa"/>
            <w:tcBorders>
              <w:top w:val="nil"/>
              <w:left w:val="nil"/>
              <w:bottom w:val="single" w:sz="8" w:space="0" w:color="auto"/>
              <w:right w:val="single" w:sz="8" w:space="0" w:color="auto"/>
            </w:tcBorders>
            <w:shd w:val="clear" w:color="auto" w:fill="auto"/>
            <w:vAlign w:val="center"/>
            <w:hideMark/>
          </w:tcPr>
          <w:p w14:paraId="3CE2E6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165AE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4844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Kalkulacja podatku odroczonego,</w:t>
            </w:r>
          </w:p>
        </w:tc>
        <w:tc>
          <w:tcPr>
            <w:tcW w:w="850" w:type="dxa"/>
            <w:tcBorders>
              <w:top w:val="nil"/>
              <w:left w:val="nil"/>
              <w:bottom w:val="single" w:sz="8" w:space="0" w:color="auto"/>
              <w:right w:val="single" w:sz="8" w:space="0" w:color="auto"/>
            </w:tcBorders>
            <w:shd w:val="clear" w:color="auto" w:fill="auto"/>
            <w:vAlign w:val="center"/>
            <w:hideMark/>
          </w:tcPr>
          <w:p w14:paraId="328B039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87548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A9301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Sprawozdanie F01 do GUS,</w:t>
            </w:r>
          </w:p>
        </w:tc>
        <w:tc>
          <w:tcPr>
            <w:tcW w:w="850" w:type="dxa"/>
            <w:tcBorders>
              <w:top w:val="nil"/>
              <w:left w:val="nil"/>
              <w:bottom w:val="single" w:sz="8" w:space="0" w:color="auto"/>
              <w:right w:val="single" w:sz="8" w:space="0" w:color="auto"/>
            </w:tcBorders>
            <w:shd w:val="clear" w:color="auto" w:fill="auto"/>
            <w:vAlign w:val="center"/>
            <w:hideMark/>
          </w:tcPr>
          <w:p w14:paraId="03A6F8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6C415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C1B8C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3.4. Krąg kosztów po rozliczeniu kosztów,</w:t>
            </w:r>
          </w:p>
        </w:tc>
        <w:tc>
          <w:tcPr>
            <w:tcW w:w="850" w:type="dxa"/>
            <w:tcBorders>
              <w:top w:val="nil"/>
              <w:left w:val="nil"/>
              <w:bottom w:val="single" w:sz="8" w:space="0" w:color="auto"/>
              <w:right w:val="single" w:sz="8" w:space="0" w:color="auto"/>
            </w:tcBorders>
            <w:shd w:val="clear" w:color="auto" w:fill="auto"/>
            <w:vAlign w:val="center"/>
            <w:hideMark/>
          </w:tcPr>
          <w:p w14:paraId="6BDA4A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2A94D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13B9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3.5. Zmiana stanu produktów,</w:t>
            </w:r>
          </w:p>
        </w:tc>
        <w:tc>
          <w:tcPr>
            <w:tcW w:w="850" w:type="dxa"/>
            <w:tcBorders>
              <w:top w:val="nil"/>
              <w:left w:val="nil"/>
              <w:bottom w:val="single" w:sz="8" w:space="0" w:color="auto"/>
              <w:right w:val="single" w:sz="8" w:space="0" w:color="auto"/>
            </w:tcBorders>
            <w:shd w:val="clear" w:color="auto" w:fill="auto"/>
            <w:vAlign w:val="center"/>
            <w:hideMark/>
          </w:tcPr>
          <w:p w14:paraId="43C7844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6943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9D28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Noty do sprawozdania finansowego,</w:t>
            </w:r>
          </w:p>
        </w:tc>
        <w:tc>
          <w:tcPr>
            <w:tcW w:w="850" w:type="dxa"/>
            <w:tcBorders>
              <w:top w:val="nil"/>
              <w:left w:val="nil"/>
              <w:bottom w:val="single" w:sz="8" w:space="0" w:color="auto"/>
              <w:right w:val="single" w:sz="8" w:space="0" w:color="auto"/>
            </w:tcBorders>
            <w:shd w:val="clear" w:color="auto" w:fill="auto"/>
            <w:vAlign w:val="center"/>
            <w:hideMark/>
          </w:tcPr>
          <w:p w14:paraId="4C30C7A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DAD9D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41894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Konsolidacji finansowej,</w:t>
            </w:r>
          </w:p>
        </w:tc>
        <w:tc>
          <w:tcPr>
            <w:tcW w:w="850" w:type="dxa"/>
            <w:tcBorders>
              <w:top w:val="nil"/>
              <w:left w:val="nil"/>
              <w:bottom w:val="single" w:sz="8" w:space="0" w:color="auto"/>
              <w:right w:val="single" w:sz="8" w:space="0" w:color="auto"/>
            </w:tcBorders>
            <w:shd w:val="clear" w:color="auto" w:fill="auto"/>
            <w:vAlign w:val="center"/>
            <w:hideMark/>
          </w:tcPr>
          <w:p w14:paraId="603B5F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64285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E4CE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Sprawozdania wg MSSF.</w:t>
            </w:r>
          </w:p>
        </w:tc>
        <w:tc>
          <w:tcPr>
            <w:tcW w:w="850" w:type="dxa"/>
            <w:tcBorders>
              <w:top w:val="nil"/>
              <w:left w:val="nil"/>
              <w:bottom w:val="single" w:sz="8" w:space="0" w:color="auto"/>
              <w:right w:val="single" w:sz="8" w:space="0" w:color="auto"/>
            </w:tcBorders>
            <w:shd w:val="clear" w:color="auto" w:fill="auto"/>
            <w:vAlign w:val="center"/>
            <w:hideMark/>
          </w:tcPr>
          <w:p w14:paraId="52E3133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B27A16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6DC21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System musi mieć możliwość wygenerowania jednostkowego oraz skonsolidowanego sprawozdania finansowego w formacie XML (po zaimportowaniu elementów sprawozdania w odpowiednim formacie – struktury logiczne), zgodnie z Ustawą o Rachunkowości.</w:t>
            </w:r>
          </w:p>
        </w:tc>
        <w:tc>
          <w:tcPr>
            <w:tcW w:w="850" w:type="dxa"/>
            <w:tcBorders>
              <w:top w:val="nil"/>
              <w:left w:val="nil"/>
              <w:bottom w:val="single" w:sz="8" w:space="0" w:color="auto"/>
              <w:right w:val="single" w:sz="8" w:space="0" w:color="auto"/>
            </w:tcBorders>
            <w:shd w:val="clear" w:color="auto" w:fill="auto"/>
            <w:vAlign w:val="center"/>
            <w:hideMark/>
          </w:tcPr>
          <w:p w14:paraId="62BBD6A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D850B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67141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System musi mieć możliwość generowania za wskazany miesiąc plików:</w:t>
            </w:r>
          </w:p>
        </w:tc>
        <w:tc>
          <w:tcPr>
            <w:tcW w:w="850" w:type="dxa"/>
            <w:tcBorders>
              <w:top w:val="nil"/>
              <w:left w:val="nil"/>
              <w:bottom w:val="single" w:sz="8" w:space="0" w:color="auto"/>
              <w:right w:val="single" w:sz="8" w:space="0" w:color="auto"/>
            </w:tcBorders>
            <w:shd w:val="clear" w:color="000000" w:fill="A6A6A6"/>
            <w:vAlign w:val="center"/>
            <w:hideMark/>
          </w:tcPr>
          <w:p w14:paraId="7F7A172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03FE27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9CA8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JPK_KR,</w:t>
            </w:r>
          </w:p>
        </w:tc>
        <w:tc>
          <w:tcPr>
            <w:tcW w:w="850" w:type="dxa"/>
            <w:tcBorders>
              <w:top w:val="nil"/>
              <w:left w:val="nil"/>
              <w:bottom w:val="single" w:sz="8" w:space="0" w:color="auto"/>
              <w:right w:val="single" w:sz="8" w:space="0" w:color="auto"/>
            </w:tcBorders>
            <w:shd w:val="clear" w:color="auto" w:fill="auto"/>
            <w:vAlign w:val="center"/>
            <w:hideMark/>
          </w:tcPr>
          <w:p w14:paraId="770404F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49155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E065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JPK_CIT,</w:t>
            </w:r>
          </w:p>
        </w:tc>
        <w:tc>
          <w:tcPr>
            <w:tcW w:w="850" w:type="dxa"/>
            <w:tcBorders>
              <w:top w:val="nil"/>
              <w:left w:val="nil"/>
              <w:bottom w:val="single" w:sz="8" w:space="0" w:color="auto"/>
              <w:right w:val="single" w:sz="8" w:space="0" w:color="auto"/>
            </w:tcBorders>
            <w:shd w:val="clear" w:color="auto" w:fill="auto"/>
            <w:vAlign w:val="center"/>
            <w:hideMark/>
          </w:tcPr>
          <w:p w14:paraId="04A93B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F0447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C56A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JPK_ST.</w:t>
            </w:r>
          </w:p>
        </w:tc>
        <w:tc>
          <w:tcPr>
            <w:tcW w:w="850" w:type="dxa"/>
            <w:tcBorders>
              <w:top w:val="nil"/>
              <w:left w:val="nil"/>
              <w:bottom w:val="single" w:sz="8" w:space="0" w:color="auto"/>
              <w:right w:val="single" w:sz="8" w:space="0" w:color="auto"/>
            </w:tcBorders>
            <w:shd w:val="clear" w:color="auto" w:fill="auto"/>
            <w:vAlign w:val="center"/>
            <w:hideMark/>
          </w:tcPr>
          <w:p w14:paraId="49984D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20127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7E9A7E"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III. BUSINESS INTELLIGENCE</w:t>
            </w:r>
          </w:p>
        </w:tc>
        <w:tc>
          <w:tcPr>
            <w:tcW w:w="850" w:type="dxa"/>
            <w:tcBorders>
              <w:top w:val="nil"/>
              <w:left w:val="nil"/>
              <w:bottom w:val="single" w:sz="8" w:space="0" w:color="auto"/>
              <w:right w:val="single" w:sz="8" w:space="0" w:color="auto"/>
            </w:tcBorders>
            <w:shd w:val="clear" w:color="000000" w:fill="A6A6A6"/>
            <w:vAlign w:val="center"/>
            <w:hideMark/>
          </w:tcPr>
          <w:p w14:paraId="41F97591"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E2FEED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705FED"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Główne obszary wspomagane przez BI:</w:t>
            </w:r>
          </w:p>
        </w:tc>
        <w:tc>
          <w:tcPr>
            <w:tcW w:w="850" w:type="dxa"/>
            <w:tcBorders>
              <w:top w:val="nil"/>
              <w:left w:val="nil"/>
              <w:bottom w:val="single" w:sz="8" w:space="0" w:color="auto"/>
              <w:right w:val="single" w:sz="8" w:space="0" w:color="auto"/>
            </w:tcBorders>
            <w:shd w:val="clear" w:color="000000" w:fill="A6A6A6"/>
            <w:vAlign w:val="center"/>
            <w:hideMark/>
          </w:tcPr>
          <w:p w14:paraId="011CF0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369680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EB7D5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Proces budżetowania na poziomie jednostki organizacyjnej.</w:t>
            </w:r>
          </w:p>
        </w:tc>
        <w:tc>
          <w:tcPr>
            <w:tcW w:w="850" w:type="dxa"/>
            <w:tcBorders>
              <w:top w:val="nil"/>
              <w:left w:val="nil"/>
              <w:bottom w:val="single" w:sz="8" w:space="0" w:color="auto"/>
              <w:right w:val="single" w:sz="8" w:space="0" w:color="auto"/>
            </w:tcBorders>
            <w:shd w:val="clear" w:color="auto" w:fill="auto"/>
            <w:vAlign w:val="center"/>
            <w:hideMark/>
          </w:tcPr>
          <w:p w14:paraId="283424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282E1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C844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Proces prognozowania i planowania na poziomie Spółki oraz poszczególnych działalności MWiK.</w:t>
            </w:r>
          </w:p>
        </w:tc>
        <w:tc>
          <w:tcPr>
            <w:tcW w:w="850" w:type="dxa"/>
            <w:tcBorders>
              <w:top w:val="nil"/>
              <w:left w:val="nil"/>
              <w:bottom w:val="single" w:sz="8" w:space="0" w:color="auto"/>
              <w:right w:val="single" w:sz="8" w:space="0" w:color="auto"/>
            </w:tcBorders>
            <w:shd w:val="clear" w:color="auto" w:fill="auto"/>
            <w:vAlign w:val="center"/>
            <w:hideMark/>
          </w:tcPr>
          <w:p w14:paraId="76FECD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BB6C8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7D259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Analizy ad hoc, różnych scenariuszy biznesowych.</w:t>
            </w:r>
          </w:p>
        </w:tc>
        <w:tc>
          <w:tcPr>
            <w:tcW w:w="850" w:type="dxa"/>
            <w:tcBorders>
              <w:top w:val="nil"/>
              <w:left w:val="nil"/>
              <w:bottom w:val="single" w:sz="8" w:space="0" w:color="auto"/>
              <w:right w:val="single" w:sz="8" w:space="0" w:color="auto"/>
            </w:tcBorders>
            <w:shd w:val="clear" w:color="auto" w:fill="auto"/>
            <w:vAlign w:val="center"/>
            <w:hideMark/>
          </w:tcPr>
          <w:p w14:paraId="6416CC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33B112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3F36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Wsparcie przygotowania taryf za wodę, ścieki, wody opadowe lub roztopowe (scenariusze w oparciu o założenia, wskaźniki).</w:t>
            </w:r>
          </w:p>
        </w:tc>
        <w:tc>
          <w:tcPr>
            <w:tcW w:w="850" w:type="dxa"/>
            <w:tcBorders>
              <w:top w:val="nil"/>
              <w:left w:val="nil"/>
              <w:bottom w:val="single" w:sz="8" w:space="0" w:color="auto"/>
              <w:right w:val="single" w:sz="8" w:space="0" w:color="auto"/>
            </w:tcBorders>
            <w:shd w:val="clear" w:color="auto" w:fill="auto"/>
            <w:vAlign w:val="center"/>
            <w:hideMark/>
          </w:tcPr>
          <w:p w14:paraId="42124D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B2D06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0D28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Monitoring strategii Spółki za pośrednictwem wskaźników (od ogółu do szczegółu).</w:t>
            </w:r>
          </w:p>
        </w:tc>
        <w:tc>
          <w:tcPr>
            <w:tcW w:w="850" w:type="dxa"/>
            <w:tcBorders>
              <w:top w:val="nil"/>
              <w:left w:val="nil"/>
              <w:bottom w:val="single" w:sz="8" w:space="0" w:color="auto"/>
              <w:right w:val="single" w:sz="8" w:space="0" w:color="auto"/>
            </w:tcBorders>
            <w:shd w:val="clear" w:color="auto" w:fill="auto"/>
            <w:vAlign w:val="center"/>
            <w:hideMark/>
          </w:tcPr>
          <w:p w14:paraId="3FC59D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BDAA853"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5D17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Monitoring działalności Spółki, zarówno w obszarach finansowych, jak i pozostałych usługach eksploatacyjnych, remontowych, awaryjności, zasobów ludzkich, ilościowym (na poziomie systemowym ).</w:t>
            </w:r>
          </w:p>
        </w:tc>
        <w:tc>
          <w:tcPr>
            <w:tcW w:w="850" w:type="dxa"/>
            <w:tcBorders>
              <w:top w:val="nil"/>
              <w:left w:val="nil"/>
              <w:bottom w:val="single" w:sz="8" w:space="0" w:color="auto"/>
              <w:right w:val="single" w:sz="8" w:space="0" w:color="auto"/>
            </w:tcBorders>
            <w:shd w:val="clear" w:color="auto" w:fill="auto"/>
            <w:vAlign w:val="center"/>
            <w:hideMark/>
          </w:tcPr>
          <w:p w14:paraId="735AC2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67A86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7876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7. Szybki i wygodny dostęp do aktualnych danych. </w:t>
            </w:r>
          </w:p>
        </w:tc>
        <w:tc>
          <w:tcPr>
            <w:tcW w:w="850" w:type="dxa"/>
            <w:tcBorders>
              <w:top w:val="nil"/>
              <w:left w:val="nil"/>
              <w:bottom w:val="single" w:sz="8" w:space="0" w:color="auto"/>
              <w:right w:val="single" w:sz="8" w:space="0" w:color="auto"/>
            </w:tcBorders>
            <w:shd w:val="clear" w:color="auto" w:fill="auto"/>
            <w:vAlign w:val="center"/>
            <w:hideMark/>
          </w:tcPr>
          <w:p w14:paraId="3E5D90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91BB3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7D519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Funkcjonalności:</w:t>
            </w:r>
          </w:p>
        </w:tc>
        <w:tc>
          <w:tcPr>
            <w:tcW w:w="850" w:type="dxa"/>
            <w:tcBorders>
              <w:top w:val="nil"/>
              <w:left w:val="nil"/>
              <w:bottom w:val="single" w:sz="8" w:space="0" w:color="auto"/>
              <w:right w:val="single" w:sz="8" w:space="0" w:color="auto"/>
            </w:tcBorders>
            <w:shd w:val="clear" w:color="000000" w:fill="A6A6A6"/>
            <w:vAlign w:val="center"/>
            <w:hideMark/>
          </w:tcPr>
          <w:p w14:paraId="73AFEF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92B322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C8F7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Automatyzacja i wsparcie procesu budżetowania oraz procesu przygotowania prognozy.</w:t>
            </w:r>
          </w:p>
        </w:tc>
        <w:tc>
          <w:tcPr>
            <w:tcW w:w="850" w:type="dxa"/>
            <w:tcBorders>
              <w:top w:val="nil"/>
              <w:left w:val="nil"/>
              <w:bottom w:val="single" w:sz="8" w:space="0" w:color="auto"/>
              <w:right w:val="single" w:sz="8" w:space="0" w:color="auto"/>
            </w:tcBorders>
            <w:shd w:val="clear" w:color="auto" w:fill="auto"/>
            <w:vAlign w:val="center"/>
            <w:hideMark/>
          </w:tcPr>
          <w:p w14:paraId="3CD6D80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8F1008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2EF9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Automatyzacja i wsparcie procesu raportowania.</w:t>
            </w:r>
          </w:p>
        </w:tc>
        <w:tc>
          <w:tcPr>
            <w:tcW w:w="850" w:type="dxa"/>
            <w:tcBorders>
              <w:top w:val="nil"/>
              <w:left w:val="nil"/>
              <w:bottom w:val="single" w:sz="8" w:space="0" w:color="auto"/>
              <w:right w:val="single" w:sz="8" w:space="0" w:color="auto"/>
            </w:tcBorders>
            <w:shd w:val="clear" w:color="auto" w:fill="auto"/>
            <w:vAlign w:val="center"/>
            <w:hideMark/>
          </w:tcPr>
          <w:p w14:paraId="0A31F0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1A1144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AE43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Automatyzacja procesu zasilenia wykonania budżetu z systemu.</w:t>
            </w:r>
          </w:p>
        </w:tc>
        <w:tc>
          <w:tcPr>
            <w:tcW w:w="850" w:type="dxa"/>
            <w:tcBorders>
              <w:top w:val="nil"/>
              <w:left w:val="nil"/>
              <w:bottom w:val="single" w:sz="8" w:space="0" w:color="auto"/>
              <w:right w:val="single" w:sz="8" w:space="0" w:color="auto"/>
            </w:tcBorders>
            <w:shd w:val="clear" w:color="auto" w:fill="auto"/>
            <w:vAlign w:val="center"/>
            <w:hideMark/>
          </w:tcPr>
          <w:p w14:paraId="085FE35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EDD21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9512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Automatyzacja procesu generowania sprawozdań finansowych na podstawie wprowadzonych budżetów.</w:t>
            </w:r>
          </w:p>
        </w:tc>
        <w:tc>
          <w:tcPr>
            <w:tcW w:w="850" w:type="dxa"/>
            <w:tcBorders>
              <w:top w:val="nil"/>
              <w:left w:val="nil"/>
              <w:bottom w:val="single" w:sz="8" w:space="0" w:color="auto"/>
              <w:right w:val="single" w:sz="8" w:space="0" w:color="auto"/>
            </w:tcBorders>
            <w:shd w:val="clear" w:color="auto" w:fill="auto"/>
            <w:vAlign w:val="center"/>
            <w:hideMark/>
          </w:tcPr>
          <w:p w14:paraId="20E590B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B93D0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A2724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Kontrola procesu tworzenia budżetu i prognoz.</w:t>
            </w:r>
          </w:p>
        </w:tc>
        <w:tc>
          <w:tcPr>
            <w:tcW w:w="850" w:type="dxa"/>
            <w:tcBorders>
              <w:top w:val="nil"/>
              <w:left w:val="nil"/>
              <w:bottom w:val="single" w:sz="8" w:space="0" w:color="auto"/>
              <w:right w:val="single" w:sz="8" w:space="0" w:color="auto"/>
            </w:tcBorders>
            <w:shd w:val="clear" w:color="auto" w:fill="auto"/>
            <w:vAlign w:val="center"/>
            <w:hideMark/>
          </w:tcPr>
          <w:p w14:paraId="620632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72518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665E1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Zapewnienie łatwego, przejrzystego i jednolitego dostępu do informacji zarządczej dla kierowników i dyrektorów w zdefiniowanych obszarach danych.</w:t>
            </w:r>
          </w:p>
        </w:tc>
        <w:tc>
          <w:tcPr>
            <w:tcW w:w="850" w:type="dxa"/>
            <w:tcBorders>
              <w:top w:val="nil"/>
              <w:left w:val="nil"/>
              <w:bottom w:val="single" w:sz="8" w:space="0" w:color="auto"/>
              <w:right w:val="single" w:sz="8" w:space="0" w:color="auto"/>
            </w:tcBorders>
            <w:shd w:val="clear" w:color="auto" w:fill="auto"/>
            <w:vAlign w:val="center"/>
            <w:hideMark/>
          </w:tcPr>
          <w:p w14:paraId="6D34E6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AD537F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ADD8D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Zasilenie systemu we wszystkie dane ilościowe i kosztowe z systemów finansowo-księgowych, kadry i płace, billing, eksploatacja, projekty, usługi itp.</w:t>
            </w:r>
          </w:p>
        </w:tc>
        <w:tc>
          <w:tcPr>
            <w:tcW w:w="850" w:type="dxa"/>
            <w:tcBorders>
              <w:top w:val="nil"/>
              <w:left w:val="nil"/>
              <w:bottom w:val="single" w:sz="8" w:space="0" w:color="auto"/>
              <w:right w:val="single" w:sz="8" w:space="0" w:color="auto"/>
            </w:tcBorders>
            <w:shd w:val="clear" w:color="auto" w:fill="auto"/>
            <w:vAlign w:val="center"/>
            <w:hideMark/>
          </w:tcPr>
          <w:p w14:paraId="5D64B0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BA8E4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D18B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tworzenia w BI różnorodnych scenariuszy (kosztowych, przychodowych, kalkulacyjnych, taryfowych, usług odpłatnych).</w:t>
            </w:r>
          </w:p>
        </w:tc>
        <w:tc>
          <w:tcPr>
            <w:tcW w:w="850" w:type="dxa"/>
            <w:tcBorders>
              <w:top w:val="nil"/>
              <w:left w:val="nil"/>
              <w:bottom w:val="single" w:sz="8" w:space="0" w:color="auto"/>
              <w:right w:val="single" w:sz="8" w:space="0" w:color="auto"/>
            </w:tcBorders>
            <w:shd w:val="clear" w:color="auto" w:fill="auto"/>
            <w:vAlign w:val="center"/>
            <w:hideMark/>
          </w:tcPr>
          <w:p w14:paraId="61E455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54A0BA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F1FAD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Analizowanie danych w różnych horyzontach czasowych, od ogółu do szczegółu z wykorzystaniem funkcji tabel przestawnych.</w:t>
            </w:r>
          </w:p>
        </w:tc>
        <w:tc>
          <w:tcPr>
            <w:tcW w:w="850" w:type="dxa"/>
            <w:tcBorders>
              <w:top w:val="nil"/>
              <w:left w:val="nil"/>
              <w:bottom w:val="single" w:sz="8" w:space="0" w:color="auto"/>
              <w:right w:val="single" w:sz="8" w:space="0" w:color="auto"/>
            </w:tcBorders>
            <w:shd w:val="clear" w:color="auto" w:fill="auto"/>
            <w:vAlign w:val="center"/>
            <w:hideMark/>
          </w:tcPr>
          <w:p w14:paraId="1831B0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A3D9FB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AE16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generowania prognoz lub budżetów na najbardziej detalicznym poziomie (np. miesiąc, MPK, konto).</w:t>
            </w:r>
          </w:p>
        </w:tc>
        <w:tc>
          <w:tcPr>
            <w:tcW w:w="850" w:type="dxa"/>
            <w:tcBorders>
              <w:top w:val="nil"/>
              <w:left w:val="nil"/>
              <w:bottom w:val="single" w:sz="8" w:space="0" w:color="auto"/>
              <w:right w:val="single" w:sz="8" w:space="0" w:color="auto"/>
            </w:tcBorders>
            <w:shd w:val="clear" w:color="auto" w:fill="auto"/>
            <w:vAlign w:val="center"/>
            <w:hideMark/>
          </w:tcPr>
          <w:p w14:paraId="65A230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4072DB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241D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szybkiej analizy różnych scenariuszy na etapie planowania rocznego, jak i późniejszych miesięcznych/kwartalnych prognoz.</w:t>
            </w:r>
          </w:p>
        </w:tc>
        <w:tc>
          <w:tcPr>
            <w:tcW w:w="850" w:type="dxa"/>
            <w:tcBorders>
              <w:top w:val="nil"/>
              <w:left w:val="nil"/>
              <w:bottom w:val="single" w:sz="8" w:space="0" w:color="auto"/>
              <w:right w:val="single" w:sz="8" w:space="0" w:color="auto"/>
            </w:tcBorders>
            <w:shd w:val="clear" w:color="auto" w:fill="auto"/>
            <w:vAlign w:val="center"/>
            <w:hideMark/>
          </w:tcPr>
          <w:p w14:paraId="099E96A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086E4C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706D5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opracowywania taryf z wykorzystaniem wzrostu o wskaźniki kosztów planowanych indywidualnie oraz przygotowywania sprawozdań finansowych (</w:t>
            </w:r>
            <w:proofErr w:type="spellStart"/>
            <w:r w:rsidRPr="00B97E7A">
              <w:rPr>
                <w:rFonts w:ascii="Times New Roman" w:eastAsia="Times New Roman" w:hAnsi="Times New Roman" w:cs="Times New Roman"/>
                <w:kern w:val="0"/>
                <w:sz w:val="28"/>
                <w:szCs w:val="28"/>
                <w:lang w:eastAsia="pl-PL"/>
                <w14:ligatures w14:val="none"/>
              </w:rPr>
              <w:t>RZiS</w:t>
            </w:r>
            <w:proofErr w:type="spellEnd"/>
            <w:r w:rsidRPr="00B97E7A">
              <w:rPr>
                <w:rFonts w:ascii="Times New Roman" w:eastAsia="Times New Roman" w:hAnsi="Times New Roman" w:cs="Times New Roman"/>
                <w:kern w:val="0"/>
                <w:sz w:val="28"/>
                <w:szCs w:val="28"/>
                <w:lang w:eastAsia="pl-PL"/>
                <w14:ligatures w14:val="none"/>
              </w:rPr>
              <w:t xml:space="preserve"> w wariancie porównawczym i kalkulacyjnym).</w:t>
            </w:r>
          </w:p>
        </w:tc>
        <w:tc>
          <w:tcPr>
            <w:tcW w:w="850" w:type="dxa"/>
            <w:tcBorders>
              <w:top w:val="nil"/>
              <w:left w:val="nil"/>
              <w:bottom w:val="single" w:sz="8" w:space="0" w:color="auto"/>
              <w:right w:val="single" w:sz="8" w:space="0" w:color="auto"/>
            </w:tcBorders>
            <w:shd w:val="clear" w:color="auto" w:fill="auto"/>
            <w:vAlign w:val="center"/>
            <w:hideMark/>
          </w:tcPr>
          <w:p w14:paraId="6E1E6E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2BB7E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03EC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automatyzacji i wsparcia procesu budżetowania, przygotowania prognozy, raportowania wykonania budżetu oraz generowania sprawozdań finansowych.</w:t>
            </w:r>
          </w:p>
        </w:tc>
        <w:tc>
          <w:tcPr>
            <w:tcW w:w="850" w:type="dxa"/>
            <w:tcBorders>
              <w:top w:val="nil"/>
              <w:left w:val="nil"/>
              <w:bottom w:val="single" w:sz="8" w:space="0" w:color="auto"/>
              <w:right w:val="single" w:sz="8" w:space="0" w:color="auto"/>
            </w:tcBorders>
            <w:shd w:val="clear" w:color="auto" w:fill="auto"/>
            <w:vAlign w:val="center"/>
            <w:hideMark/>
          </w:tcPr>
          <w:p w14:paraId="1B886F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5D36B9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3B10A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Obliczanie średnich, wyszukiwanie wartości min, max, dostęp do danych „od ogółu do szczegółu”.</w:t>
            </w:r>
          </w:p>
        </w:tc>
        <w:tc>
          <w:tcPr>
            <w:tcW w:w="850" w:type="dxa"/>
            <w:tcBorders>
              <w:top w:val="nil"/>
              <w:left w:val="nil"/>
              <w:bottom w:val="single" w:sz="8" w:space="0" w:color="auto"/>
              <w:right w:val="single" w:sz="8" w:space="0" w:color="auto"/>
            </w:tcBorders>
            <w:shd w:val="clear" w:color="auto" w:fill="auto"/>
            <w:vAlign w:val="center"/>
            <w:hideMark/>
          </w:tcPr>
          <w:p w14:paraId="38FABA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B73724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D28A4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wykorzystania danych z obcych systemów.</w:t>
            </w:r>
          </w:p>
        </w:tc>
        <w:tc>
          <w:tcPr>
            <w:tcW w:w="850" w:type="dxa"/>
            <w:tcBorders>
              <w:top w:val="nil"/>
              <w:left w:val="nil"/>
              <w:bottom w:val="single" w:sz="8" w:space="0" w:color="auto"/>
              <w:right w:val="single" w:sz="8" w:space="0" w:color="auto"/>
            </w:tcBorders>
            <w:shd w:val="clear" w:color="auto" w:fill="auto"/>
            <w:vAlign w:val="center"/>
            <w:hideMark/>
          </w:tcPr>
          <w:p w14:paraId="1A10395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2D49C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F3DA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samodzielnego dodawania danych źródłowych do wykorzystania w raportowaniu.</w:t>
            </w:r>
          </w:p>
        </w:tc>
        <w:tc>
          <w:tcPr>
            <w:tcW w:w="850" w:type="dxa"/>
            <w:tcBorders>
              <w:top w:val="nil"/>
              <w:left w:val="nil"/>
              <w:bottom w:val="single" w:sz="8" w:space="0" w:color="auto"/>
              <w:right w:val="single" w:sz="8" w:space="0" w:color="auto"/>
            </w:tcBorders>
            <w:shd w:val="clear" w:color="auto" w:fill="auto"/>
            <w:vAlign w:val="center"/>
            <w:hideMark/>
          </w:tcPr>
          <w:p w14:paraId="241E79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111AC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73BF1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Wizualizacje</w:t>
            </w:r>
          </w:p>
        </w:tc>
        <w:tc>
          <w:tcPr>
            <w:tcW w:w="850" w:type="dxa"/>
            <w:tcBorders>
              <w:top w:val="nil"/>
              <w:left w:val="nil"/>
              <w:bottom w:val="single" w:sz="8" w:space="0" w:color="auto"/>
              <w:right w:val="single" w:sz="8" w:space="0" w:color="auto"/>
            </w:tcBorders>
            <w:shd w:val="clear" w:color="000000" w:fill="A6A6A6"/>
            <w:vAlign w:val="center"/>
            <w:hideMark/>
          </w:tcPr>
          <w:p w14:paraId="0776BB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82A61A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25EC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Wizualizacje informacji dedykowanych dla różnych odbiorców: zarządu, menadżerów, działów i innych wybranych użytkowników, zespołów realizujących strategię.</w:t>
            </w:r>
          </w:p>
        </w:tc>
        <w:tc>
          <w:tcPr>
            <w:tcW w:w="850" w:type="dxa"/>
            <w:tcBorders>
              <w:top w:val="nil"/>
              <w:left w:val="nil"/>
              <w:bottom w:val="single" w:sz="8" w:space="0" w:color="auto"/>
              <w:right w:val="single" w:sz="8" w:space="0" w:color="auto"/>
            </w:tcBorders>
            <w:shd w:val="clear" w:color="auto" w:fill="auto"/>
            <w:vAlign w:val="center"/>
            <w:hideMark/>
          </w:tcPr>
          <w:p w14:paraId="1FF4A9F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C57D14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EFDD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definiowania wg wskazanych formuł oraz liczenie na podstawie przekrojowych danych z różnych systemów wskaźników mierzących realizację strategii MWiK, w podziale na cele strategiczne, MPK, od ogółu do szczegółu, we wskazanym horyzoncie czasowym.</w:t>
            </w:r>
          </w:p>
        </w:tc>
        <w:tc>
          <w:tcPr>
            <w:tcW w:w="850" w:type="dxa"/>
            <w:tcBorders>
              <w:top w:val="nil"/>
              <w:left w:val="nil"/>
              <w:bottom w:val="single" w:sz="8" w:space="0" w:color="auto"/>
              <w:right w:val="single" w:sz="8" w:space="0" w:color="auto"/>
            </w:tcBorders>
            <w:shd w:val="clear" w:color="auto" w:fill="auto"/>
            <w:vAlign w:val="center"/>
            <w:hideMark/>
          </w:tcPr>
          <w:p w14:paraId="79083E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D99221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035C9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3. Możliwość wprowadzania przez użytkownika komentarzy do wartości wprowadzanych ręcznie. </w:t>
            </w:r>
          </w:p>
        </w:tc>
        <w:tc>
          <w:tcPr>
            <w:tcW w:w="850" w:type="dxa"/>
            <w:tcBorders>
              <w:top w:val="nil"/>
              <w:left w:val="nil"/>
              <w:bottom w:val="single" w:sz="8" w:space="0" w:color="auto"/>
              <w:right w:val="single" w:sz="8" w:space="0" w:color="auto"/>
            </w:tcBorders>
            <w:shd w:val="clear" w:color="auto" w:fill="auto"/>
            <w:vAlign w:val="center"/>
            <w:hideMark/>
          </w:tcPr>
          <w:p w14:paraId="7C03EC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A7E240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BEC61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 Wizualizacja informacji dopasowanej do odpowiednich odbiorców, z możliwością ich modyfikacji przez uprawnionych i przeszkolonych w ramach tej funkcjonalności pracowników. </w:t>
            </w:r>
          </w:p>
        </w:tc>
        <w:tc>
          <w:tcPr>
            <w:tcW w:w="850" w:type="dxa"/>
            <w:tcBorders>
              <w:top w:val="nil"/>
              <w:left w:val="nil"/>
              <w:bottom w:val="single" w:sz="8" w:space="0" w:color="auto"/>
              <w:right w:val="single" w:sz="8" w:space="0" w:color="auto"/>
            </w:tcBorders>
            <w:shd w:val="clear" w:color="auto" w:fill="auto"/>
            <w:vAlign w:val="center"/>
            <w:hideMark/>
          </w:tcPr>
          <w:p w14:paraId="4FC16C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7AFA7D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3A359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Rozwiązania wspomagające pracę menedżerów poprzez wykorzystanie powszechnie stosowanych miar i wskaźników, takich jak: przychody, koszty, produktywność, wskaźniki finansowe , rentowność usług.</w:t>
            </w:r>
          </w:p>
        </w:tc>
        <w:tc>
          <w:tcPr>
            <w:tcW w:w="850" w:type="dxa"/>
            <w:tcBorders>
              <w:top w:val="nil"/>
              <w:left w:val="nil"/>
              <w:bottom w:val="single" w:sz="8" w:space="0" w:color="auto"/>
              <w:right w:val="single" w:sz="8" w:space="0" w:color="auto"/>
            </w:tcBorders>
            <w:shd w:val="clear" w:color="auto" w:fill="auto"/>
            <w:vAlign w:val="center"/>
            <w:hideMark/>
          </w:tcPr>
          <w:p w14:paraId="282753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71D3D4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C6B48D"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Projekty Controllingowe i Zlecenia Pomocnicze</w:t>
            </w:r>
          </w:p>
        </w:tc>
        <w:tc>
          <w:tcPr>
            <w:tcW w:w="850" w:type="dxa"/>
            <w:tcBorders>
              <w:top w:val="nil"/>
              <w:left w:val="nil"/>
              <w:bottom w:val="single" w:sz="8" w:space="0" w:color="auto"/>
              <w:right w:val="single" w:sz="8" w:space="0" w:color="auto"/>
            </w:tcBorders>
            <w:shd w:val="clear" w:color="000000" w:fill="A6A6A6"/>
            <w:vAlign w:val="center"/>
            <w:hideMark/>
          </w:tcPr>
          <w:p w14:paraId="7A0970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6B85DD2"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C4A5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Ewidencja projektów controllingowych i zleceń pomocniczych oraz podzleceń (np. eksploatacyjnych, remontowych, wydziałowych, usługowych, inwestycyjnych i innych). Projekt controllingowy jako agregat zapewniający uzupełniającą szczegółową ewidencję zdarzeń gospodarczych. Możliwość ich klasyfikowania/grupowania, raportowania, filtrowania, podliczania ilości, podglądów nakładów ze wskazaniem okresu, zakresu danych (koszt, ilość), dojścia do poziomu projektów i dokumentów zaksięgowanych na dany projekt itp.</w:t>
            </w:r>
          </w:p>
        </w:tc>
        <w:tc>
          <w:tcPr>
            <w:tcW w:w="850" w:type="dxa"/>
            <w:tcBorders>
              <w:top w:val="nil"/>
              <w:left w:val="nil"/>
              <w:bottom w:val="single" w:sz="8" w:space="0" w:color="auto"/>
              <w:right w:val="single" w:sz="8" w:space="0" w:color="auto"/>
            </w:tcBorders>
            <w:shd w:val="clear" w:color="000000" w:fill="A6A6A6"/>
            <w:vAlign w:val="center"/>
            <w:hideMark/>
          </w:tcPr>
          <w:p w14:paraId="6E0B689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4C76C5F"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F4099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1.1. Możliwość zdefiniowania grupy projektów, np. EK (projekty eksploatacyjne), EO (Eksploatacja Obiekty), IN (Inwestycje), KO (Koszty Wspólne), KS (Koszty Sprzedaży), KW (Koszty Wydziałowe), LB (Badania Laboratoryjne), OG (Projekty Ogólnego Zarządu), RK (Rozliczenia Międzyokresowe Kosztów), RP (Projekty Działu Realizacji Projektu), TR (Ewidencja Samochodów), ZL (Zlecenia Pomocnicze),</w:t>
            </w:r>
          </w:p>
        </w:tc>
        <w:tc>
          <w:tcPr>
            <w:tcW w:w="850" w:type="dxa"/>
            <w:tcBorders>
              <w:top w:val="nil"/>
              <w:left w:val="nil"/>
              <w:bottom w:val="single" w:sz="8" w:space="0" w:color="auto"/>
              <w:right w:val="single" w:sz="8" w:space="0" w:color="auto"/>
            </w:tcBorders>
            <w:shd w:val="clear" w:color="auto" w:fill="auto"/>
            <w:vAlign w:val="center"/>
            <w:hideMark/>
          </w:tcPr>
          <w:p w14:paraId="1220F0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C3A2673"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953BC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zdefiniowania słowników (np. projektów, obiektów, grup kalkulacyjnych, MPK, JORG) do parametryzacji projektów controllingowych, zleceń pomocniczych,</w:t>
            </w:r>
          </w:p>
        </w:tc>
        <w:tc>
          <w:tcPr>
            <w:tcW w:w="850" w:type="dxa"/>
            <w:tcBorders>
              <w:top w:val="nil"/>
              <w:left w:val="nil"/>
              <w:bottom w:val="single" w:sz="8" w:space="0" w:color="auto"/>
              <w:right w:val="single" w:sz="8" w:space="0" w:color="auto"/>
            </w:tcBorders>
            <w:shd w:val="clear" w:color="auto" w:fill="auto"/>
            <w:vAlign w:val="center"/>
            <w:hideMark/>
          </w:tcPr>
          <w:p w14:paraId="1523DF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0029FA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E1DA5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zakładania nowych MPK, projektów oraz projektów ZL z podzleceniami w przypadkach, gdy prace remontowe czy jakaś usługa świadczone są na zewnątrz i realizowane są przez kilka działów,</w:t>
            </w:r>
          </w:p>
        </w:tc>
        <w:tc>
          <w:tcPr>
            <w:tcW w:w="850" w:type="dxa"/>
            <w:tcBorders>
              <w:top w:val="nil"/>
              <w:left w:val="nil"/>
              <w:bottom w:val="single" w:sz="8" w:space="0" w:color="auto"/>
              <w:right w:val="single" w:sz="8" w:space="0" w:color="auto"/>
            </w:tcBorders>
            <w:shd w:val="clear" w:color="auto" w:fill="auto"/>
            <w:vAlign w:val="center"/>
            <w:hideMark/>
          </w:tcPr>
          <w:p w14:paraId="5C8186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31DAE0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B304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zamykania zleceń pomocniczych po zakończonej pracy lub ich otwierania (przez upoważnionych do tego użytkowników), gdy nastąpi taka konieczność,</w:t>
            </w:r>
          </w:p>
        </w:tc>
        <w:tc>
          <w:tcPr>
            <w:tcW w:w="850" w:type="dxa"/>
            <w:tcBorders>
              <w:top w:val="nil"/>
              <w:left w:val="nil"/>
              <w:bottom w:val="single" w:sz="8" w:space="0" w:color="auto"/>
              <w:right w:val="single" w:sz="8" w:space="0" w:color="auto"/>
            </w:tcBorders>
            <w:shd w:val="clear" w:color="auto" w:fill="auto"/>
            <w:vAlign w:val="center"/>
            <w:hideMark/>
          </w:tcPr>
          <w:p w14:paraId="01B836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F4934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AA12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wykorzystywania statusu projektów: planowane, otwarte, anulowane, zamknięte,</w:t>
            </w:r>
          </w:p>
        </w:tc>
        <w:tc>
          <w:tcPr>
            <w:tcW w:w="850" w:type="dxa"/>
            <w:tcBorders>
              <w:top w:val="nil"/>
              <w:left w:val="nil"/>
              <w:bottom w:val="single" w:sz="8" w:space="0" w:color="auto"/>
              <w:right w:val="single" w:sz="8" w:space="0" w:color="auto"/>
            </w:tcBorders>
            <w:shd w:val="clear" w:color="auto" w:fill="auto"/>
            <w:vAlign w:val="center"/>
            <w:hideMark/>
          </w:tcPr>
          <w:p w14:paraId="3B83162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75AB9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C2F9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odnoszenia nakładów na projekty (tj. kosztowych, ilościowych, czasu pracy, nakładów zewnętrznych),</w:t>
            </w:r>
          </w:p>
        </w:tc>
        <w:tc>
          <w:tcPr>
            <w:tcW w:w="850" w:type="dxa"/>
            <w:tcBorders>
              <w:top w:val="nil"/>
              <w:left w:val="nil"/>
              <w:bottom w:val="single" w:sz="8" w:space="0" w:color="auto"/>
              <w:right w:val="single" w:sz="8" w:space="0" w:color="auto"/>
            </w:tcBorders>
            <w:shd w:val="clear" w:color="auto" w:fill="auto"/>
            <w:vAlign w:val="center"/>
            <w:hideMark/>
          </w:tcPr>
          <w:p w14:paraId="0DF767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124DDB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7FCC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Przy dekretacji kosztów oprócz konta księgowego wskazywanie projektu controllingowego z modułu controllingu (projekt nie jest elementem konta),</w:t>
            </w:r>
          </w:p>
        </w:tc>
        <w:tc>
          <w:tcPr>
            <w:tcW w:w="850" w:type="dxa"/>
            <w:tcBorders>
              <w:top w:val="nil"/>
              <w:left w:val="nil"/>
              <w:bottom w:val="single" w:sz="8" w:space="0" w:color="auto"/>
              <w:right w:val="single" w:sz="8" w:space="0" w:color="auto"/>
            </w:tcBorders>
            <w:shd w:val="clear" w:color="auto" w:fill="auto"/>
            <w:vAlign w:val="center"/>
            <w:hideMark/>
          </w:tcPr>
          <w:p w14:paraId="27C2A44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4A0E71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5A3F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Każdy projekt powinien mieć swój niepowtarzalny numer – identyfikator, który jest widoczny we wszystkich modułach dziedzinowych systemu, np. w module gospodarki magazynowej, w KiP-</w:t>
            </w:r>
            <w:proofErr w:type="spellStart"/>
            <w:r w:rsidRPr="00B97E7A">
              <w:rPr>
                <w:rFonts w:ascii="Times New Roman" w:eastAsia="Times New Roman" w:hAnsi="Times New Roman" w:cs="Times New Roman"/>
                <w:kern w:val="0"/>
                <w:sz w:val="28"/>
                <w:szCs w:val="28"/>
                <w:lang w:eastAsia="pl-PL"/>
                <w14:ligatures w14:val="none"/>
              </w:rPr>
              <w:t>ie</w:t>
            </w:r>
            <w:proofErr w:type="spellEnd"/>
            <w:r w:rsidRPr="00B97E7A">
              <w:rPr>
                <w:rFonts w:ascii="Times New Roman" w:eastAsia="Times New Roman" w:hAnsi="Times New Roman" w:cs="Times New Roman"/>
                <w:kern w:val="0"/>
                <w:sz w:val="28"/>
                <w:szCs w:val="28"/>
                <w:lang w:eastAsia="pl-PL"/>
                <w14:ligatures w14:val="none"/>
              </w:rPr>
              <w:t>, majątku itp.,</w:t>
            </w:r>
          </w:p>
        </w:tc>
        <w:tc>
          <w:tcPr>
            <w:tcW w:w="850" w:type="dxa"/>
            <w:tcBorders>
              <w:top w:val="nil"/>
              <w:left w:val="nil"/>
              <w:bottom w:val="single" w:sz="8" w:space="0" w:color="auto"/>
              <w:right w:val="single" w:sz="8" w:space="0" w:color="auto"/>
            </w:tcBorders>
            <w:shd w:val="clear" w:color="auto" w:fill="auto"/>
            <w:vAlign w:val="center"/>
            <w:hideMark/>
          </w:tcPr>
          <w:p w14:paraId="573558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F640D6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CF49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archiwizowania projektów i przywracania z archiwum,</w:t>
            </w:r>
          </w:p>
        </w:tc>
        <w:tc>
          <w:tcPr>
            <w:tcW w:w="850" w:type="dxa"/>
            <w:tcBorders>
              <w:top w:val="nil"/>
              <w:left w:val="nil"/>
              <w:bottom w:val="single" w:sz="8" w:space="0" w:color="auto"/>
              <w:right w:val="single" w:sz="8" w:space="0" w:color="auto"/>
            </w:tcBorders>
            <w:shd w:val="clear" w:color="auto" w:fill="auto"/>
            <w:vAlign w:val="center"/>
            <w:hideMark/>
          </w:tcPr>
          <w:p w14:paraId="7A35720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47E921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62C4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1.10. Przy wykonywaniu wydruków możliwość ujmowania wartości nakładów z uwzględnieniem projektów zarchiwizowanych,</w:t>
            </w:r>
          </w:p>
        </w:tc>
        <w:tc>
          <w:tcPr>
            <w:tcW w:w="850" w:type="dxa"/>
            <w:tcBorders>
              <w:top w:val="nil"/>
              <w:left w:val="nil"/>
              <w:bottom w:val="single" w:sz="8" w:space="0" w:color="auto"/>
              <w:right w:val="single" w:sz="8" w:space="0" w:color="auto"/>
            </w:tcBorders>
            <w:shd w:val="clear" w:color="auto" w:fill="auto"/>
            <w:vAlign w:val="center"/>
            <w:hideMark/>
          </w:tcPr>
          <w:p w14:paraId="242B19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8B4E23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B6DA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Projekty w podziale na poszczególne jednostki organizacyjne.</w:t>
            </w:r>
          </w:p>
        </w:tc>
        <w:tc>
          <w:tcPr>
            <w:tcW w:w="850" w:type="dxa"/>
            <w:tcBorders>
              <w:top w:val="nil"/>
              <w:left w:val="nil"/>
              <w:bottom w:val="single" w:sz="8" w:space="0" w:color="auto"/>
              <w:right w:val="single" w:sz="8" w:space="0" w:color="auto"/>
            </w:tcBorders>
            <w:shd w:val="clear" w:color="auto" w:fill="auto"/>
            <w:vAlign w:val="center"/>
            <w:hideMark/>
          </w:tcPr>
          <w:p w14:paraId="4FF442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77066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56FC9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Odwzorowanie schematu układu hierarchicznego w formie układu drzewa wg struktury organizacyjnej Spółki (piony, działy, zadania) z możliwością dojścia do dokumentów źródłowych (od ogółu do szczegółu).</w:t>
            </w:r>
          </w:p>
        </w:tc>
        <w:tc>
          <w:tcPr>
            <w:tcW w:w="850" w:type="dxa"/>
            <w:tcBorders>
              <w:top w:val="nil"/>
              <w:left w:val="nil"/>
              <w:bottom w:val="single" w:sz="8" w:space="0" w:color="auto"/>
              <w:right w:val="single" w:sz="8" w:space="0" w:color="auto"/>
            </w:tcBorders>
            <w:shd w:val="clear" w:color="auto" w:fill="auto"/>
            <w:vAlign w:val="center"/>
            <w:hideMark/>
          </w:tcPr>
          <w:p w14:paraId="6A2632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C9BCD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3CD4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3. Możliwość uzgodnienia nakładów kosztowych z projektów i zleceń pomocniczych z wartościami przychodów i kosztów zaewidencjonowanych na poszczególnych kontach księgowych. </w:t>
            </w:r>
          </w:p>
        </w:tc>
        <w:tc>
          <w:tcPr>
            <w:tcW w:w="850" w:type="dxa"/>
            <w:tcBorders>
              <w:top w:val="nil"/>
              <w:left w:val="nil"/>
              <w:bottom w:val="single" w:sz="8" w:space="0" w:color="auto"/>
              <w:right w:val="single" w:sz="8" w:space="0" w:color="auto"/>
            </w:tcBorders>
            <w:shd w:val="clear" w:color="auto" w:fill="auto"/>
            <w:vAlign w:val="center"/>
            <w:hideMark/>
          </w:tcPr>
          <w:p w14:paraId="4BBA29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346F50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5E981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 Opracowanie raportów controllingowych oraz sparametryzowanie ich wydruków dla potrzeb informacji zarządczej oraz analiz controllingowych:</w:t>
            </w:r>
          </w:p>
        </w:tc>
        <w:tc>
          <w:tcPr>
            <w:tcW w:w="850" w:type="dxa"/>
            <w:tcBorders>
              <w:top w:val="nil"/>
              <w:left w:val="nil"/>
              <w:bottom w:val="single" w:sz="8" w:space="0" w:color="auto"/>
              <w:right w:val="single" w:sz="8" w:space="0" w:color="auto"/>
            </w:tcBorders>
            <w:shd w:val="clear" w:color="000000" w:fill="A6A6A6"/>
            <w:vAlign w:val="center"/>
            <w:hideMark/>
          </w:tcPr>
          <w:p w14:paraId="7CFD7A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773DF54"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333E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System ma zawierać przygotowane raporty dotyczący działalności Spółki: przychodów, kosztów, prac eksploatacyjnych, remontowych i nakładów inwestycyjnych, rentowności, zasobów ludzkich, kosztów jednostkowych działalności, wskaźników finansowych, rentowności usług odpłatnych, zestawień ilościowych sprzedaży i innych,</w:t>
            </w:r>
          </w:p>
        </w:tc>
        <w:tc>
          <w:tcPr>
            <w:tcW w:w="850" w:type="dxa"/>
            <w:tcBorders>
              <w:top w:val="nil"/>
              <w:left w:val="nil"/>
              <w:bottom w:val="single" w:sz="8" w:space="0" w:color="auto"/>
              <w:right w:val="single" w:sz="8" w:space="0" w:color="auto"/>
            </w:tcBorders>
            <w:shd w:val="clear" w:color="auto" w:fill="auto"/>
            <w:vAlign w:val="center"/>
            <w:hideMark/>
          </w:tcPr>
          <w:p w14:paraId="6CFB15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9122967"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4B9D0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Stworzenie raportów controllingowych dotyczących Działalności Wodociągowej, Kanalizacyjnej, Deszczowej (w postaci syntetycznej i analitycznej) w ujęciu miesięcznym i narastającym wraz z przypisaniem kosztów ogólnozakładowych i kosztów sprzedaży na poszczególne działalności,</w:t>
            </w:r>
          </w:p>
        </w:tc>
        <w:tc>
          <w:tcPr>
            <w:tcW w:w="850" w:type="dxa"/>
            <w:tcBorders>
              <w:top w:val="nil"/>
              <w:left w:val="nil"/>
              <w:bottom w:val="single" w:sz="8" w:space="0" w:color="auto"/>
              <w:right w:val="single" w:sz="8" w:space="0" w:color="auto"/>
            </w:tcBorders>
            <w:shd w:val="clear" w:color="auto" w:fill="auto"/>
            <w:vAlign w:val="center"/>
            <w:hideMark/>
          </w:tcPr>
          <w:p w14:paraId="76D373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70D8F6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CB2F2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wygenerowania raportów wartościowo-ilościowych korzystających z danych finansowo księgowych modułu FK, danych ilościowych z systemu i projektów, parametrów wprowadzanych z ręki,</w:t>
            </w:r>
          </w:p>
        </w:tc>
        <w:tc>
          <w:tcPr>
            <w:tcW w:w="850" w:type="dxa"/>
            <w:tcBorders>
              <w:top w:val="nil"/>
              <w:left w:val="nil"/>
              <w:bottom w:val="single" w:sz="8" w:space="0" w:color="auto"/>
              <w:right w:val="single" w:sz="8" w:space="0" w:color="auto"/>
            </w:tcBorders>
            <w:shd w:val="clear" w:color="auto" w:fill="auto"/>
            <w:vAlign w:val="center"/>
            <w:hideMark/>
          </w:tcPr>
          <w:p w14:paraId="65DCEA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1562FC"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42755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4.4. Możliwość generowania raportów dla wskazanych grup usług odpłatnych, z uwzględnieniem: planu przychodów, kosztów bezpośrednich, wydziałowych oraz ogólnozakładowych, zysku, rentowności na różnych poziomach (rentowność bez kosztów pośrednich, po uwzględnieniu kosztów wydziałowych oraz po uwzględnieniu kosztów ogólnozakładowych i kosztów sprzedaży),</w:t>
            </w:r>
          </w:p>
        </w:tc>
        <w:tc>
          <w:tcPr>
            <w:tcW w:w="850" w:type="dxa"/>
            <w:tcBorders>
              <w:top w:val="nil"/>
              <w:left w:val="nil"/>
              <w:bottom w:val="single" w:sz="8" w:space="0" w:color="auto"/>
              <w:right w:val="single" w:sz="8" w:space="0" w:color="auto"/>
            </w:tcBorders>
            <w:shd w:val="clear" w:color="auto" w:fill="auto"/>
            <w:vAlign w:val="center"/>
            <w:hideMark/>
          </w:tcPr>
          <w:p w14:paraId="269BB9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C275181"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832E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4.5. Możliwość zapisywania i zapamiętywania wyników dla każdego okresu (miesięcznie i narastająco) oraz wykorzystywania wyników do definiowania kolejnych raportów. Możliwość zablokowania wyników lub ich odblokowania przez upoważnione do tego osoby, a także oznaczenia jako wersja ostateczna),</w:t>
            </w:r>
          </w:p>
        </w:tc>
        <w:tc>
          <w:tcPr>
            <w:tcW w:w="850" w:type="dxa"/>
            <w:tcBorders>
              <w:top w:val="nil"/>
              <w:left w:val="nil"/>
              <w:bottom w:val="single" w:sz="8" w:space="0" w:color="auto"/>
              <w:right w:val="single" w:sz="8" w:space="0" w:color="auto"/>
            </w:tcBorders>
            <w:shd w:val="clear" w:color="auto" w:fill="auto"/>
            <w:vAlign w:val="center"/>
            <w:hideMark/>
          </w:tcPr>
          <w:p w14:paraId="6D9D71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4F0829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6EB0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4.6. Komunikaty wymagające potwierdzenia chęci wykonania operacji nieodwracalnych,</w:t>
            </w:r>
          </w:p>
        </w:tc>
        <w:tc>
          <w:tcPr>
            <w:tcW w:w="850" w:type="dxa"/>
            <w:tcBorders>
              <w:top w:val="nil"/>
              <w:left w:val="nil"/>
              <w:bottom w:val="single" w:sz="8" w:space="0" w:color="auto"/>
              <w:right w:val="single" w:sz="8" w:space="0" w:color="auto"/>
            </w:tcBorders>
            <w:shd w:val="clear" w:color="auto" w:fill="auto"/>
            <w:vAlign w:val="center"/>
            <w:hideMark/>
          </w:tcPr>
          <w:p w14:paraId="007CF5D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70344A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CE9EE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4.7. Kopiowanie raportów w całości lub z możliwością wskazania danego wiersza/kolumny lub pola,</w:t>
            </w:r>
          </w:p>
        </w:tc>
        <w:tc>
          <w:tcPr>
            <w:tcW w:w="850" w:type="dxa"/>
            <w:tcBorders>
              <w:top w:val="nil"/>
              <w:left w:val="nil"/>
              <w:bottom w:val="single" w:sz="8" w:space="0" w:color="auto"/>
              <w:right w:val="single" w:sz="8" w:space="0" w:color="auto"/>
            </w:tcBorders>
            <w:shd w:val="clear" w:color="auto" w:fill="auto"/>
            <w:vAlign w:val="center"/>
            <w:hideMark/>
          </w:tcPr>
          <w:p w14:paraId="76B273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991095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6DF1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4.8. Możliwość drukowania definicji raportów,</w:t>
            </w:r>
          </w:p>
        </w:tc>
        <w:tc>
          <w:tcPr>
            <w:tcW w:w="850" w:type="dxa"/>
            <w:tcBorders>
              <w:top w:val="nil"/>
              <w:left w:val="nil"/>
              <w:bottom w:val="single" w:sz="8" w:space="0" w:color="auto"/>
              <w:right w:val="single" w:sz="8" w:space="0" w:color="auto"/>
            </w:tcBorders>
            <w:shd w:val="clear" w:color="auto" w:fill="auto"/>
            <w:vAlign w:val="center"/>
            <w:hideMark/>
          </w:tcPr>
          <w:p w14:paraId="7BD370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D7471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212D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4.9. Możliwość wycofania wprowadzonych zmian – „cofnij” ostatnią operację,</w:t>
            </w:r>
          </w:p>
        </w:tc>
        <w:tc>
          <w:tcPr>
            <w:tcW w:w="850" w:type="dxa"/>
            <w:tcBorders>
              <w:top w:val="nil"/>
              <w:left w:val="nil"/>
              <w:bottom w:val="single" w:sz="8" w:space="0" w:color="auto"/>
              <w:right w:val="single" w:sz="8" w:space="0" w:color="auto"/>
            </w:tcBorders>
            <w:shd w:val="clear" w:color="auto" w:fill="auto"/>
            <w:vAlign w:val="center"/>
            <w:hideMark/>
          </w:tcPr>
          <w:p w14:paraId="2FE0EC5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7509E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CFA28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4.10. Przy przeliczaniu raportów za rok bieżący i miniony (szczególnie na przełomie roku) właściwe zastosowanie odpowiedniego planu budżetu do właściwego roku obrotowego.</w:t>
            </w:r>
          </w:p>
        </w:tc>
        <w:tc>
          <w:tcPr>
            <w:tcW w:w="850" w:type="dxa"/>
            <w:tcBorders>
              <w:top w:val="nil"/>
              <w:left w:val="nil"/>
              <w:bottom w:val="single" w:sz="8" w:space="0" w:color="auto"/>
              <w:right w:val="single" w:sz="8" w:space="0" w:color="auto"/>
            </w:tcBorders>
            <w:shd w:val="clear" w:color="auto" w:fill="auto"/>
            <w:vAlign w:val="center"/>
            <w:hideMark/>
          </w:tcPr>
          <w:p w14:paraId="739C3A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EF64E9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0A38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 xml:space="preserve">5. Podział i organizacja procesu budżetowania: </w:t>
            </w:r>
          </w:p>
        </w:tc>
        <w:tc>
          <w:tcPr>
            <w:tcW w:w="850" w:type="dxa"/>
            <w:tcBorders>
              <w:top w:val="nil"/>
              <w:left w:val="nil"/>
              <w:bottom w:val="single" w:sz="8" w:space="0" w:color="auto"/>
              <w:right w:val="single" w:sz="8" w:space="0" w:color="auto"/>
            </w:tcBorders>
            <w:shd w:val="clear" w:color="000000" w:fill="A6A6A6"/>
            <w:vAlign w:val="center"/>
            <w:hideMark/>
          </w:tcPr>
          <w:p w14:paraId="7727DA8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10857F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310A6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Planowanie zbiorcze (istotne koszty planowane na działy) według jednostek organizacyjnych (MPK) w oparciu o rok obrachunkowy (na przełomie lat) z możliwością ręcznego wprowadzania wartości i komentarzy oraz prognozowanie w oparciu o wykonanie bieżącego okresu.</w:t>
            </w:r>
          </w:p>
        </w:tc>
        <w:tc>
          <w:tcPr>
            <w:tcW w:w="850" w:type="dxa"/>
            <w:tcBorders>
              <w:top w:val="nil"/>
              <w:left w:val="nil"/>
              <w:bottom w:val="single" w:sz="8" w:space="0" w:color="auto"/>
              <w:right w:val="single" w:sz="8" w:space="0" w:color="auto"/>
            </w:tcBorders>
            <w:shd w:val="clear" w:color="auto" w:fill="auto"/>
            <w:vAlign w:val="center"/>
            <w:hideMark/>
          </w:tcPr>
          <w:p w14:paraId="266A24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C1575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2266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Budżetowanie przez jednostki organizacyjne (MPK) w oparciu o rok obrachunkowy z możliwością ręcznego wprowadzania wartości i komentarzy oraz prognozowanie w oparciu o wykonanie bieżącego okresu.</w:t>
            </w:r>
          </w:p>
        </w:tc>
        <w:tc>
          <w:tcPr>
            <w:tcW w:w="850" w:type="dxa"/>
            <w:tcBorders>
              <w:top w:val="nil"/>
              <w:left w:val="nil"/>
              <w:bottom w:val="single" w:sz="8" w:space="0" w:color="auto"/>
              <w:right w:val="single" w:sz="8" w:space="0" w:color="auto"/>
            </w:tcBorders>
            <w:shd w:val="clear" w:color="auto" w:fill="auto"/>
            <w:vAlign w:val="center"/>
            <w:hideMark/>
          </w:tcPr>
          <w:p w14:paraId="6AC543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B28075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40F0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Możliwość raportowania planowania zbiorczego i przez poszczególne jednostki organizacyjne, obecnie funkcjonują raporty:</w:t>
            </w:r>
          </w:p>
        </w:tc>
        <w:tc>
          <w:tcPr>
            <w:tcW w:w="850" w:type="dxa"/>
            <w:tcBorders>
              <w:top w:val="nil"/>
              <w:left w:val="nil"/>
              <w:bottom w:val="single" w:sz="8" w:space="0" w:color="auto"/>
              <w:right w:val="single" w:sz="8" w:space="0" w:color="auto"/>
            </w:tcBorders>
            <w:shd w:val="clear" w:color="auto" w:fill="auto"/>
            <w:vAlign w:val="center"/>
            <w:hideMark/>
          </w:tcPr>
          <w:p w14:paraId="2667E7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C8159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AD79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5.3.1. PZ – koszty planowane zbiorczo dla wszystkich działów,</w:t>
            </w:r>
          </w:p>
        </w:tc>
        <w:tc>
          <w:tcPr>
            <w:tcW w:w="850" w:type="dxa"/>
            <w:tcBorders>
              <w:top w:val="nil"/>
              <w:left w:val="nil"/>
              <w:bottom w:val="single" w:sz="8" w:space="0" w:color="auto"/>
              <w:right w:val="single" w:sz="8" w:space="0" w:color="auto"/>
            </w:tcBorders>
            <w:shd w:val="clear" w:color="auto" w:fill="auto"/>
            <w:vAlign w:val="center"/>
            <w:hideMark/>
          </w:tcPr>
          <w:p w14:paraId="1F20E39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68153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F0ED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5.3.2. PKK – koszty planowane indywidualnie przez kierowników działów,</w:t>
            </w:r>
          </w:p>
        </w:tc>
        <w:tc>
          <w:tcPr>
            <w:tcW w:w="850" w:type="dxa"/>
            <w:tcBorders>
              <w:top w:val="nil"/>
              <w:left w:val="nil"/>
              <w:bottom w:val="single" w:sz="8" w:space="0" w:color="auto"/>
              <w:right w:val="single" w:sz="8" w:space="0" w:color="auto"/>
            </w:tcBorders>
            <w:shd w:val="clear" w:color="auto" w:fill="auto"/>
            <w:vAlign w:val="center"/>
            <w:hideMark/>
          </w:tcPr>
          <w:p w14:paraId="16CFDD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C07CC9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0238C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5.3.3. PK – raport dla każdego działu (MPK) - suma kosztów z raportów PZ (planowanych zbiorczo) oraz PKK (planowanych indywidualnie) dla danego działu,</w:t>
            </w:r>
          </w:p>
        </w:tc>
        <w:tc>
          <w:tcPr>
            <w:tcW w:w="850" w:type="dxa"/>
            <w:tcBorders>
              <w:top w:val="nil"/>
              <w:left w:val="nil"/>
              <w:bottom w:val="single" w:sz="8" w:space="0" w:color="auto"/>
              <w:right w:val="single" w:sz="8" w:space="0" w:color="auto"/>
            </w:tcBorders>
            <w:shd w:val="clear" w:color="auto" w:fill="auto"/>
            <w:vAlign w:val="center"/>
            <w:hideMark/>
          </w:tcPr>
          <w:p w14:paraId="4B489EF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AAA05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417D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5.3.4. PK_RAZEM – suma wszystkich zaplanowanych analitycznie kosztów rodzajowych.</w:t>
            </w:r>
          </w:p>
        </w:tc>
        <w:tc>
          <w:tcPr>
            <w:tcW w:w="850" w:type="dxa"/>
            <w:tcBorders>
              <w:top w:val="nil"/>
              <w:left w:val="nil"/>
              <w:bottom w:val="single" w:sz="8" w:space="0" w:color="auto"/>
              <w:right w:val="single" w:sz="8" w:space="0" w:color="auto"/>
            </w:tcBorders>
            <w:shd w:val="clear" w:color="auto" w:fill="auto"/>
            <w:vAlign w:val="center"/>
            <w:hideMark/>
          </w:tcPr>
          <w:p w14:paraId="756BEE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BD085E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D4EC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5.4. Możliwość korygowania planu przed jego akceptacją na poziomie budżetu.</w:t>
            </w:r>
          </w:p>
        </w:tc>
        <w:tc>
          <w:tcPr>
            <w:tcW w:w="850" w:type="dxa"/>
            <w:tcBorders>
              <w:top w:val="nil"/>
              <w:left w:val="nil"/>
              <w:bottom w:val="single" w:sz="8" w:space="0" w:color="auto"/>
              <w:right w:val="single" w:sz="8" w:space="0" w:color="auto"/>
            </w:tcBorders>
            <w:shd w:val="clear" w:color="auto" w:fill="auto"/>
            <w:vAlign w:val="center"/>
            <w:hideMark/>
          </w:tcPr>
          <w:p w14:paraId="078F9E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E512778"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AD8A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5.5. Możliwość zaciągania zaakceptowanych budżetów do raportów informujących o zaawansowaniu realizacji planów i wykonania kosztów m. in. działów w strukturze Pionów. Stworzenie zestawień budżetowych (plan, wykonanie z Modułu FK, odchylenia ilościowe i procentowe) dotyczących zarówno poszczególnych jednostek organizacyjnych, jak i całej działalności MWiK wg rodzaju kosztów, analitycznie, syntetycznie; obecnie obowiązują raporty RK_MPK (raporty z realizacji kosztów poszczególnych działów).</w:t>
            </w:r>
          </w:p>
        </w:tc>
        <w:tc>
          <w:tcPr>
            <w:tcW w:w="850" w:type="dxa"/>
            <w:tcBorders>
              <w:top w:val="nil"/>
              <w:left w:val="nil"/>
              <w:bottom w:val="single" w:sz="8" w:space="0" w:color="auto"/>
              <w:right w:val="single" w:sz="8" w:space="0" w:color="auto"/>
            </w:tcBorders>
            <w:shd w:val="clear" w:color="auto" w:fill="auto"/>
            <w:vAlign w:val="center"/>
            <w:hideMark/>
          </w:tcPr>
          <w:p w14:paraId="11B816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A47FB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641FF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Graficzna prezentacja planów i raportów z ich wykonania.</w:t>
            </w:r>
          </w:p>
        </w:tc>
        <w:tc>
          <w:tcPr>
            <w:tcW w:w="850" w:type="dxa"/>
            <w:tcBorders>
              <w:top w:val="nil"/>
              <w:left w:val="nil"/>
              <w:bottom w:val="single" w:sz="8" w:space="0" w:color="auto"/>
              <w:right w:val="single" w:sz="8" w:space="0" w:color="auto"/>
            </w:tcBorders>
            <w:shd w:val="clear" w:color="auto" w:fill="auto"/>
            <w:vAlign w:val="center"/>
            <w:hideMark/>
          </w:tcPr>
          <w:p w14:paraId="1E2B9D8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6DFE76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74DB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Sprawozdawczość finansowa dostosowana do wymagań związanych z opracowaniem wniosku taryfowego (możliwość uzyskania danych z przełomu lat):</w:t>
            </w:r>
          </w:p>
        </w:tc>
        <w:tc>
          <w:tcPr>
            <w:tcW w:w="850" w:type="dxa"/>
            <w:tcBorders>
              <w:top w:val="nil"/>
              <w:left w:val="nil"/>
              <w:bottom w:val="single" w:sz="8" w:space="0" w:color="auto"/>
              <w:right w:val="single" w:sz="8" w:space="0" w:color="auto"/>
            </w:tcBorders>
            <w:shd w:val="clear" w:color="000000" w:fill="A6A6A6"/>
            <w:vAlign w:val="center"/>
            <w:hideMark/>
          </w:tcPr>
          <w:p w14:paraId="4C0780A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FA99B1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BC441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7.1. System zawierający Tabele do Wniosku Taryfowego zgodne z wzorem wynikającym z aktualnych przepisów Rozporządzenia taryfowego),</w:t>
            </w:r>
          </w:p>
        </w:tc>
        <w:tc>
          <w:tcPr>
            <w:tcW w:w="850" w:type="dxa"/>
            <w:tcBorders>
              <w:top w:val="nil"/>
              <w:left w:val="nil"/>
              <w:bottom w:val="single" w:sz="8" w:space="0" w:color="auto"/>
              <w:right w:val="single" w:sz="8" w:space="0" w:color="auto"/>
            </w:tcBorders>
            <w:shd w:val="clear" w:color="auto" w:fill="auto"/>
            <w:vAlign w:val="center"/>
            <w:hideMark/>
          </w:tcPr>
          <w:p w14:paraId="5F8DD8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B7E2AF7"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B0B70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7.2. Możliwość otrzymania danych księgowych dostosowanych do dowolnych okresów obrachunkowych taryf i według pozycji kosztów w ujęciu syntetycznym i analitycznym stanowiących źródło do zasilania Tabel taryfowych,</w:t>
            </w:r>
          </w:p>
        </w:tc>
        <w:tc>
          <w:tcPr>
            <w:tcW w:w="850" w:type="dxa"/>
            <w:tcBorders>
              <w:top w:val="nil"/>
              <w:left w:val="nil"/>
              <w:bottom w:val="single" w:sz="8" w:space="0" w:color="auto"/>
              <w:right w:val="single" w:sz="8" w:space="0" w:color="auto"/>
            </w:tcBorders>
            <w:shd w:val="clear" w:color="auto" w:fill="auto"/>
            <w:vAlign w:val="center"/>
            <w:hideMark/>
          </w:tcPr>
          <w:p w14:paraId="7E6A34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34FC5C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4313B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7.3. Pozyskanie danych w podziale na działalności oraz koszty bezpośrednie i pośrednie (w tym koszty wydziałowe, ogólnozakładowe i sprzedaży),</w:t>
            </w:r>
          </w:p>
        </w:tc>
        <w:tc>
          <w:tcPr>
            <w:tcW w:w="850" w:type="dxa"/>
            <w:tcBorders>
              <w:top w:val="nil"/>
              <w:left w:val="nil"/>
              <w:bottom w:val="single" w:sz="8" w:space="0" w:color="auto"/>
              <w:right w:val="single" w:sz="8" w:space="0" w:color="auto"/>
            </w:tcBorders>
            <w:shd w:val="clear" w:color="auto" w:fill="auto"/>
            <w:vAlign w:val="center"/>
            <w:hideMark/>
          </w:tcPr>
          <w:p w14:paraId="2258CA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CE1BF3"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6369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7.4. Możliwość zaplanowania kosztów na okres obowiązywania nowych taryf (w ujęciu rodzajowym oraz w podziale na działalności) przy uwzględnieniu wskaźników wzrostu kosztów (stałych i zmiennych), wzrostu wartości majątku, wzrostu zatrudnienia, wzrostu ilości m3 sprzedaży wody, ścieków, wód opadowych lub roztopowych itp.,</w:t>
            </w:r>
          </w:p>
        </w:tc>
        <w:tc>
          <w:tcPr>
            <w:tcW w:w="850" w:type="dxa"/>
            <w:tcBorders>
              <w:top w:val="nil"/>
              <w:left w:val="nil"/>
              <w:bottom w:val="single" w:sz="8" w:space="0" w:color="auto"/>
              <w:right w:val="single" w:sz="8" w:space="0" w:color="auto"/>
            </w:tcBorders>
            <w:shd w:val="clear" w:color="auto" w:fill="auto"/>
            <w:vAlign w:val="center"/>
            <w:hideMark/>
          </w:tcPr>
          <w:p w14:paraId="0ECFE69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B50FB5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13251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7.5. Możliwość wydzielenia kosztów stanowiących podstawę do wyliczenia stawki abonamentowej (za gotowość, koszty odczytu i rozliczenia), z uwzględnieniem klasyfikacji i ilości odbiorców w grupach taryfowych,</w:t>
            </w:r>
          </w:p>
        </w:tc>
        <w:tc>
          <w:tcPr>
            <w:tcW w:w="850" w:type="dxa"/>
            <w:tcBorders>
              <w:top w:val="nil"/>
              <w:left w:val="nil"/>
              <w:bottom w:val="single" w:sz="8" w:space="0" w:color="auto"/>
              <w:right w:val="single" w:sz="8" w:space="0" w:color="auto"/>
            </w:tcBorders>
            <w:shd w:val="clear" w:color="auto" w:fill="auto"/>
            <w:vAlign w:val="center"/>
            <w:hideMark/>
          </w:tcPr>
          <w:p w14:paraId="578318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1EA09B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C6FB9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7.6. Alokacja kosztów według przyjętych wskaźników alokacji,</w:t>
            </w:r>
          </w:p>
        </w:tc>
        <w:tc>
          <w:tcPr>
            <w:tcW w:w="850" w:type="dxa"/>
            <w:tcBorders>
              <w:top w:val="nil"/>
              <w:left w:val="nil"/>
              <w:bottom w:val="single" w:sz="8" w:space="0" w:color="auto"/>
              <w:right w:val="single" w:sz="8" w:space="0" w:color="auto"/>
            </w:tcBorders>
            <w:shd w:val="clear" w:color="auto" w:fill="auto"/>
            <w:vAlign w:val="center"/>
            <w:hideMark/>
          </w:tcPr>
          <w:p w14:paraId="08AEB8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DA0A3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8419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7.7. Możliwość opracowania tabel do kalkulacji cen dla umów hurtowych dla gmin ościennych.</w:t>
            </w:r>
          </w:p>
        </w:tc>
        <w:tc>
          <w:tcPr>
            <w:tcW w:w="850" w:type="dxa"/>
            <w:tcBorders>
              <w:top w:val="nil"/>
              <w:left w:val="nil"/>
              <w:bottom w:val="single" w:sz="8" w:space="0" w:color="auto"/>
              <w:right w:val="single" w:sz="8" w:space="0" w:color="auto"/>
            </w:tcBorders>
            <w:shd w:val="clear" w:color="auto" w:fill="auto"/>
            <w:vAlign w:val="center"/>
            <w:hideMark/>
          </w:tcPr>
          <w:p w14:paraId="38E5A4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65A662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C746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8. Możliwość tworzenia i modyfikowania raportów controllingowych przez użytkowników wg opracowanych zasad Zachowanie historii zmian dokonywanych przez poszczególnych użytkowników. </w:t>
            </w:r>
          </w:p>
        </w:tc>
        <w:tc>
          <w:tcPr>
            <w:tcW w:w="850" w:type="dxa"/>
            <w:tcBorders>
              <w:top w:val="nil"/>
              <w:left w:val="nil"/>
              <w:bottom w:val="single" w:sz="8" w:space="0" w:color="auto"/>
              <w:right w:val="single" w:sz="8" w:space="0" w:color="auto"/>
            </w:tcBorders>
            <w:shd w:val="clear" w:color="auto" w:fill="auto"/>
            <w:vAlign w:val="center"/>
            <w:hideMark/>
          </w:tcPr>
          <w:p w14:paraId="7ED5ACF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EEB325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0F181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Dostęp do raportów z ilości wykonanych prac eksploatacyjnych na sieci wodociągowej, kanalizacyjnej, deszczowej oraz wg struktury obiektów eksploatacyjnych.</w:t>
            </w:r>
          </w:p>
        </w:tc>
        <w:tc>
          <w:tcPr>
            <w:tcW w:w="850" w:type="dxa"/>
            <w:tcBorders>
              <w:top w:val="nil"/>
              <w:left w:val="nil"/>
              <w:bottom w:val="single" w:sz="8" w:space="0" w:color="auto"/>
              <w:right w:val="single" w:sz="8" w:space="0" w:color="auto"/>
            </w:tcBorders>
            <w:shd w:val="clear" w:color="auto" w:fill="auto"/>
            <w:vAlign w:val="center"/>
            <w:hideMark/>
          </w:tcPr>
          <w:p w14:paraId="1F1B8C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1C4513B"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F82E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dostępu do raportu z ilości sztuk awarii na sieciach wodociągowych, kanalizacyjnych i deszczowych oraz wybranych obiektach z wyszczególnieniem m.in.:</w:t>
            </w:r>
            <w:r w:rsidRPr="00B97E7A">
              <w:rPr>
                <w:rFonts w:ascii="Times New Roman" w:eastAsia="Times New Roman" w:hAnsi="Times New Roman" w:cs="Times New Roman"/>
                <w:kern w:val="0"/>
                <w:sz w:val="28"/>
                <w:szCs w:val="28"/>
                <w:lang w:eastAsia="pl-PL"/>
                <w14:ligatures w14:val="none"/>
              </w:rPr>
              <w:br/>
              <w:t>10.1. miejsca wystąpienia,</w:t>
            </w:r>
            <w:r w:rsidRPr="00B97E7A">
              <w:rPr>
                <w:rFonts w:ascii="Times New Roman" w:eastAsia="Times New Roman" w:hAnsi="Times New Roman" w:cs="Times New Roman"/>
                <w:kern w:val="0"/>
                <w:sz w:val="28"/>
                <w:szCs w:val="28"/>
                <w:lang w:eastAsia="pl-PL"/>
                <w14:ligatures w14:val="none"/>
              </w:rPr>
              <w:br/>
              <w:t>10.2. czasu usuwania awarii,</w:t>
            </w:r>
            <w:r w:rsidRPr="00B97E7A">
              <w:rPr>
                <w:rFonts w:ascii="Times New Roman" w:eastAsia="Times New Roman" w:hAnsi="Times New Roman" w:cs="Times New Roman"/>
                <w:kern w:val="0"/>
                <w:sz w:val="28"/>
                <w:szCs w:val="28"/>
                <w:lang w:eastAsia="pl-PL"/>
                <w14:ligatures w14:val="none"/>
              </w:rPr>
              <w:br/>
              <w:t>10.3. rodzaju obiektu,</w:t>
            </w:r>
            <w:r w:rsidRPr="00B97E7A">
              <w:rPr>
                <w:rFonts w:ascii="Times New Roman" w:eastAsia="Times New Roman" w:hAnsi="Times New Roman" w:cs="Times New Roman"/>
                <w:kern w:val="0"/>
                <w:sz w:val="28"/>
                <w:szCs w:val="28"/>
                <w:lang w:eastAsia="pl-PL"/>
                <w14:ligatures w14:val="none"/>
              </w:rPr>
              <w:br/>
              <w:t>10.4. rodzaju uszkodzonego materiału,</w:t>
            </w:r>
            <w:r w:rsidRPr="00B97E7A">
              <w:rPr>
                <w:rFonts w:ascii="Times New Roman" w:eastAsia="Times New Roman" w:hAnsi="Times New Roman" w:cs="Times New Roman"/>
                <w:kern w:val="0"/>
                <w:sz w:val="28"/>
                <w:szCs w:val="28"/>
                <w:lang w:eastAsia="pl-PL"/>
                <w14:ligatures w14:val="none"/>
              </w:rPr>
              <w:br/>
              <w:t>10.5. średnicy przewodu,</w:t>
            </w:r>
            <w:r w:rsidRPr="00B97E7A">
              <w:rPr>
                <w:rFonts w:ascii="Times New Roman" w:eastAsia="Times New Roman" w:hAnsi="Times New Roman" w:cs="Times New Roman"/>
                <w:kern w:val="0"/>
                <w:sz w:val="28"/>
                <w:szCs w:val="28"/>
                <w:lang w:eastAsia="pl-PL"/>
                <w14:ligatures w14:val="none"/>
              </w:rPr>
              <w:br/>
              <w:t>10.6. wieku przewodu,</w:t>
            </w:r>
            <w:r w:rsidRPr="00B97E7A">
              <w:rPr>
                <w:rFonts w:ascii="Times New Roman" w:eastAsia="Times New Roman" w:hAnsi="Times New Roman" w:cs="Times New Roman"/>
                <w:kern w:val="0"/>
                <w:sz w:val="28"/>
                <w:szCs w:val="28"/>
                <w:lang w:eastAsia="pl-PL"/>
                <w14:ligatures w14:val="none"/>
              </w:rPr>
              <w:br/>
              <w:t>10.7. rodzaju własności.</w:t>
            </w:r>
          </w:p>
        </w:tc>
        <w:tc>
          <w:tcPr>
            <w:tcW w:w="850" w:type="dxa"/>
            <w:tcBorders>
              <w:top w:val="nil"/>
              <w:left w:val="nil"/>
              <w:bottom w:val="single" w:sz="8" w:space="0" w:color="auto"/>
              <w:right w:val="single" w:sz="8" w:space="0" w:color="auto"/>
            </w:tcBorders>
            <w:shd w:val="clear" w:color="auto" w:fill="auto"/>
            <w:vAlign w:val="center"/>
            <w:hideMark/>
          </w:tcPr>
          <w:p w14:paraId="0F260CC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6BE354F"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6D2DB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11. Możliwość sporządzania wydruków analitycznych i syntetycznych (i ich podglądów) z kont księgowych, projektów controllingowych, raportów z dowolnego okresu (od… do…) występujących na projektach lub grupie, z wykorzystaniem zmiennych filtrów ustawianych parametrów, które podpowiadają się ze słowników:</w:t>
            </w:r>
          </w:p>
        </w:tc>
        <w:tc>
          <w:tcPr>
            <w:tcW w:w="850" w:type="dxa"/>
            <w:tcBorders>
              <w:top w:val="nil"/>
              <w:left w:val="nil"/>
              <w:bottom w:val="single" w:sz="8" w:space="0" w:color="auto"/>
              <w:right w:val="single" w:sz="8" w:space="0" w:color="auto"/>
            </w:tcBorders>
            <w:shd w:val="clear" w:color="000000" w:fill="A6A6A6"/>
            <w:vAlign w:val="center"/>
            <w:hideMark/>
          </w:tcPr>
          <w:p w14:paraId="2E7F5A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77A3A8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100C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Miejsca Powstawania Koszów (MPK),</w:t>
            </w:r>
          </w:p>
        </w:tc>
        <w:tc>
          <w:tcPr>
            <w:tcW w:w="850" w:type="dxa"/>
            <w:tcBorders>
              <w:top w:val="nil"/>
              <w:left w:val="nil"/>
              <w:bottom w:val="single" w:sz="8" w:space="0" w:color="auto"/>
              <w:right w:val="single" w:sz="8" w:space="0" w:color="auto"/>
            </w:tcBorders>
            <w:shd w:val="clear" w:color="auto" w:fill="auto"/>
            <w:vAlign w:val="center"/>
            <w:hideMark/>
          </w:tcPr>
          <w:p w14:paraId="44C57D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4CC8C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247CE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Obiektów w układzie hierarchicznym (od ogółu do szczegółu),</w:t>
            </w:r>
          </w:p>
        </w:tc>
        <w:tc>
          <w:tcPr>
            <w:tcW w:w="850" w:type="dxa"/>
            <w:tcBorders>
              <w:top w:val="nil"/>
              <w:left w:val="nil"/>
              <w:bottom w:val="single" w:sz="8" w:space="0" w:color="auto"/>
              <w:right w:val="single" w:sz="8" w:space="0" w:color="auto"/>
            </w:tcBorders>
            <w:shd w:val="clear" w:color="auto" w:fill="auto"/>
            <w:vAlign w:val="center"/>
            <w:hideMark/>
          </w:tcPr>
          <w:p w14:paraId="2DD8694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091F4D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C036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Jednostek kalkulacyjnych,</w:t>
            </w:r>
          </w:p>
        </w:tc>
        <w:tc>
          <w:tcPr>
            <w:tcW w:w="850" w:type="dxa"/>
            <w:tcBorders>
              <w:top w:val="nil"/>
              <w:left w:val="nil"/>
              <w:bottom w:val="single" w:sz="8" w:space="0" w:color="auto"/>
              <w:right w:val="single" w:sz="8" w:space="0" w:color="auto"/>
            </w:tcBorders>
            <w:shd w:val="clear" w:color="auto" w:fill="auto"/>
            <w:vAlign w:val="center"/>
            <w:hideMark/>
          </w:tcPr>
          <w:p w14:paraId="0702C6D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FBE687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6A25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Nakładów wartościowych i ilościowych,</w:t>
            </w:r>
          </w:p>
        </w:tc>
        <w:tc>
          <w:tcPr>
            <w:tcW w:w="850" w:type="dxa"/>
            <w:tcBorders>
              <w:top w:val="nil"/>
              <w:left w:val="nil"/>
              <w:bottom w:val="single" w:sz="8" w:space="0" w:color="auto"/>
              <w:right w:val="single" w:sz="8" w:space="0" w:color="auto"/>
            </w:tcBorders>
            <w:shd w:val="clear" w:color="auto" w:fill="auto"/>
            <w:vAlign w:val="center"/>
            <w:hideMark/>
          </w:tcPr>
          <w:p w14:paraId="65328FA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AE4C03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BA72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11.5. Kosztów i przychodów,</w:t>
            </w:r>
          </w:p>
        </w:tc>
        <w:tc>
          <w:tcPr>
            <w:tcW w:w="850" w:type="dxa"/>
            <w:tcBorders>
              <w:top w:val="nil"/>
              <w:left w:val="nil"/>
              <w:bottom w:val="single" w:sz="8" w:space="0" w:color="auto"/>
              <w:right w:val="single" w:sz="8" w:space="0" w:color="auto"/>
            </w:tcBorders>
            <w:shd w:val="clear" w:color="auto" w:fill="auto"/>
            <w:vAlign w:val="center"/>
            <w:hideMark/>
          </w:tcPr>
          <w:p w14:paraId="59D2E6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E4830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AFC36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11.6. Grup projektów,</w:t>
            </w:r>
          </w:p>
        </w:tc>
        <w:tc>
          <w:tcPr>
            <w:tcW w:w="850" w:type="dxa"/>
            <w:tcBorders>
              <w:top w:val="nil"/>
              <w:left w:val="nil"/>
              <w:bottom w:val="single" w:sz="8" w:space="0" w:color="auto"/>
              <w:right w:val="single" w:sz="8" w:space="0" w:color="auto"/>
            </w:tcBorders>
            <w:shd w:val="clear" w:color="auto" w:fill="auto"/>
            <w:vAlign w:val="center"/>
            <w:hideMark/>
          </w:tcPr>
          <w:p w14:paraId="65E7CE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459AC4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8280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11.7. Grup kalkulacyjnych (jako dodatkowy słownik parametrów).</w:t>
            </w:r>
          </w:p>
        </w:tc>
        <w:tc>
          <w:tcPr>
            <w:tcW w:w="850" w:type="dxa"/>
            <w:tcBorders>
              <w:top w:val="nil"/>
              <w:left w:val="nil"/>
              <w:bottom w:val="single" w:sz="8" w:space="0" w:color="auto"/>
              <w:right w:val="single" w:sz="8" w:space="0" w:color="auto"/>
            </w:tcBorders>
            <w:shd w:val="clear" w:color="auto" w:fill="auto"/>
            <w:vAlign w:val="center"/>
            <w:hideMark/>
          </w:tcPr>
          <w:p w14:paraId="467CFF4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01E3D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32A15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Przy tworzeniu wydruków możliwość sortowania wyników wg nr projektu/zlecenia, MPK, JORG, Grupy Kalkulacyjnej itp.</w:t>
            </w:r>
          </w:p>
        </w:tc>
        <w:tc>
          <w:tcPr>
            <w:tcW w:w="850" w:type="dxa"/>
            <w:tcBorders>
              <w:top w:val="nil"/>
              <w:left w:val="nil"/>
              <w:bottom w:val="single" w:sz="8" w:space="0" w:color="auto"/>
              <w:right w:val="single" w:sz="8" w:space="0" w:color="auto"/>
            </w:tcBorders>
            <w:shd w:val="clear" w:color="auto" w:fill="auto"/>
            <w:vAlign w:val="center"/>
            <w:hideMark/>
          </w:tcPr>
          <w:p w14:paraId="146565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66C283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8F9C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eksportowania wydruków i wyników raportów do np. MS Excel, PDF.</w:t>
            </w:r>
          </w:p>
        </w:tc>
        <w:tc>
          <w:tcPr>
            <w:tcW w:w="850" w:type="dxa"/>
            <w:tcBorders>
              <w:top w:val="nil"/>
              <w:left w:val="nil"/>
              <w:bottom w:val="single" w:sz="8" w:space="0" w:color="auto"/>
              <w:right w:val="single" w:sz="8" w:space="0" w:color="auto"/>
            </w:tcBorders>
            <w:shd w:val="clear" w:color="auto" w:fill="auto"/>
            <w:vAlign w:val="center"/>
            <w:hideMark/>
          </w:tcPr>
          <w:p w14:paraId="708341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B95E55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4ED3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naliczania i raportowania wskaźników finansowych (płynność, rentowność, zadłużenie i inne), wskaźników zrównoważonej karty wyników, wskaźników strategicznych oraz wskaźników produkcyjnych na podstawie dostępnych danych zarówno kosztowych jak i ilościowych z systemu.</w:t>
            </w:r>
          </w:p>
        </w:tc>
        <w:tc>
          <w:tcPr>
            <w:tcW w:w="850" w:type="dxa"/>
            <w:tcBorders>
              <w:top w:val="nil"/>
              <w:left w:val="nil"/>
              <w:bottom w:val="single" w:sz="8" w:space="0" w:color="auto"/>
              <w:right w:val="single" w:sz="8" w:space="0" w:color="auto"/>
            </w:tcBorders>
            <w:shd w:val="clear" w:color="auto" w:fill="auto"/>
            <w:vAlign w:val="center"/>
            <w:hideMark/>
          </w:tcPr>
          <w:p w14:paraId="2105EE5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C7ED54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8BEA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generowania danych (raportów) do wymogów statystycznych (DG1, SP, C-01, M06, S08, Z06, Z02 itp.) i ankietowych (ankieta IGWP) oraz na potrzeby sporządzania odpowiedzi na wezwania z Wód Polskich.</w:t>
            </w:r>
          </w:p>
        </w:tc>
        <w:tc>
          <w:tcPr>
            <w:tcW w:w="850" w:type="dxa"/>
            <w:tcBorders>
              <w:top w:val="nil"/>
              <w:left w:val="nil"/>
              <w:bottom w:val="single" w:sz="8" w:space="0" w:color="auto"/>
              <w:right w:val="single" w:sz="8" w:space="0" w:color="auto"/>
            </w:tcBorders>
            <w:shd w:val="clear" w:color="auto" w:fill="auto"/>
            <w:vAlign w:val="center"/>
            <w:hideMark/>
          </w:tcPr>
          <w:p w14:paraId="52B5335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459C46"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C84A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Opracowanie Panelu/Pulpitu dla Zarządu z najważniejszymi danymi dotyczącymi działania Spółki, realizacji budżetu Spółki (również w formie graficznej) z możliwością zmiany i personalizacji przez użytkownika prezentowanych informacji.</w:t>
            </w:r>
          </w:p>
        </w:tc>
        <w:tc>
          <w:tcPr>
            <w:tcW w:w="850" w:type="dxa"/>
            <w:tcBorders>
              <w:top w:val="nil"/>
              <w:left w:val="nil"/>
              <w:bottom w:val="single" w:sz="8" w:space="0" w:color="auto"/>
              <w:right w:val="single" w:sz="8" w:space="0" w:color="auto"/>
            </w:tcBorders>
            <w:shd w:val="clear" w:color="auto" w:fill="auto"/>
            <w:vAlign w:val="center"/>
            <w:hideMark/>
          </w:tcPr>
          <w:p w14:paraId="36E1BE1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8313A4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88D3D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17. Opracowanie Panelu/Pulpitu dla Menedżerów z najważniejszymi danymi dotyczącymi działania Spółki, realizacji budżetu dla danego MPK (również w formie graficznej) oraz kluczowych dla Menedżerów zagadnień z możliwością zmiany i personalizacji przez użytkownika prezentowanych danych.</w:t>
            </w:r>
          </w:p>
        </w:tc>
        <w:tc>
          <w:tcPr>
            <w:tcW w:w="850" w:type="dxa"/>
            <w:tcBorders>
              <w:top w:val="nil"/>
              <w:left w:val="nil"/>
              <w:bottom w:val="single" w:sz="8" w:space="0" w:color="auto"/>
              <w:right w:val="single" w:sz="8" w:space="0" w:color="auto"/>
            </w:tcBorders>
            <w:shd w:val="clear" w:color="auto" w:fill="auto"/>
            <w:vAlign w:val="center"/>
            <w:hideMark/>
          </w:tcPr>
          <w:p w14:paraId="1633B19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DA5384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94E3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wprowadzania danych ilościowych do systemu przez poszczególne działy – upoważnione osoby w określonym czasie (system przypominania).</w:t>
            </w:r>
          </w:p>
        </w:tc>
        <w:tc>
          <w:tcPr>
            <w:tcW w:w="850" w:type="dxa"/>
            <w:tcBorders>
              <w:top w:val="nil"/>
              <w:left w:val="nil"/>
              <w:bottom w:val="single" w:sz="8" w:space="0" w:color="auto"/>
              <w:right w:val="single" w:sz="8" w:space="0" w:color="auto"/>
            </w:tcBorders>
            <w:shd w:val="clear" w:color="auto" w:fill="auto"/>
            <w:vAlign w:val="center"/>
            <w:hideMark/>
          </w:tcPr>
          <w:p w14:paraId="31EC347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7D975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6C07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automatycznego uzupełniania w raportach controllingowych wszelkich zmian dotyczących kont lub nakładów.</w:t>
            </w:r>
          </w:p>
        </w:tc>
        <w:tc>
          <w:tcPr>
            <w:tcW w:w="850" w:type="dxa"/>
            <w:tcBorders>
              <w:top w:val="nil"/>
              <w:left w:val="nil"/>
              <w:bottom w:val="single" w:sz="8" w:space="0" w:color="auto"/>
              <w:right w:val="single" w:sz="8" w:space="0" w:color="auto"/>
            </w:tcBorders>
            <w:shd w:val="clear" w:color="auto" w:fill="auto"/>
            <w:vAlign w:val="center"/>
            <w:hideMark/>
          </w:tcPr>
          <w:p w14:paraId="0979FC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29949C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71FB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Dedykowanie uprawnień do raportów według grup użytkowników, odpowiedzialności (grupy robocze). Udostępnianie raportów budżetowych odpowiednim osobom wraz z systemem sygnalizującym zagrożenia.</w:t>
            </w:r>
          </w:p>
        </w:tc>
        <w:tc>
          <w:tcPr>
            <w:tcW w:w="850" w:type="dxa"/>
            <w:tcBorders>
              <w:top w:val="nil"/>
              <w:left w:val="nil"/>
              <w:bottom w:val="single" w:sz="8" w:space="0" w:color="auto"/>
              <w:right w:val="single" w:sz="8" w:space="0" w:color="auto"/>
            </w:tcBorders>
            <w:shd w:val="clear" w:color="auto" w:fill="auto"/>
            <w:vAlign w:val="center"/>
            <w:hideMark/>
          </w:tcPr>
          <w:p w14:paraId="1BBD92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3F3C44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B11D1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Możliwość definiowania zestawów danych do wydruków lub wprowadzania danych ilościowych na projekty.</w:t>
            </w:r>
          </w:p>
        </w:tc>
        <w:tc>
          <w:tcPr>
            <w:tcW w:w="850" w:type="dxa"/>
            <w:tcBorders>
              <w:top w:val="nil"/>
              <w:left w:val="nil"/>
              <w:bottom w:val="single" w:sz="8" w:space="0" w:color="auto"/>
              <w:right w:val="single" w:sz="8" w:space="0" w:color="auto"/>
            </w:tcBorders>
            <w:shd w:val="clear" w:color="auto" w:fill="auto"/>
            <w:vAlign w:val="center"/>
            <w:hideMark/>
          </w:tcPr>
          <w:p w14:paraId="6EB57F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31C3DC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BD4F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Dostęp do danych o zatrudnieniu na dowolny dzień i za dowolny okres rozliczeniowy w etatach i osobach.</w:t>
            </w:r>
          </w:p>
        </w:tc>
        <w:tc>
          <w:tcPr>
            <w:tcW w:w="850" w:type="dxa"/>
            <w:tcBorders>
              <w:top w:val="nil"/>
              <w:left w:val="nil"/>
              <w:bottom w:val="single" w:sz="8" w:space="0" w:color="auto"/>
              <w:right w:val="single" w:sz="8" w:space="0" w:color="auto"/>
            </w:tcBorders>
            <w:shd w:val="clear" w:color="auto" w:fill="auto"/>
            <w:vAlign w:val="center"/>
            <w:hideMark/>
          </w:tcPr>
          <w:p w14:paraId="6EB00E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857C26"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7B7B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Dostęp do ewidencji za dowolny okres i narastająco nominalnego czasu pracy, tj. czasu przepracowanego i nie przepracowanego (w rozbiciu na: urlopy wypoczynkowe, choroby, opieki i inne) w podziale na: piony, działy, pracowników fizycznych i umysłowych - odchylenia od nominalnego czasu pracy ustalonego zgodnie z Kodeksem Pracy i wewnętrznymi zarządzeniami) w ujęciu syntetycznym (w podziale na pracowników fizycznych i umysłowych.</w:t>
            </w:r>
          </w:p>
        </w:tc>
        <w:tc>
          <w:tcPr>
            <w:tcW w:w="850" w:type="dxa"/>
            <w:tcBorders>
              <w:top w:val="nil"/>
              <w:left w:val="nil"/>
              <w:bottom w:val="single" w:sz="8" w:space="0" w:color="auto"/>
              <w:right w:val="single" w:sz="8" w:space="0" w:color="auto"/>
            </w:tcBorders>
            <w:shd w:val="clear" w:color="auto" w:fill="auto"/>
            <w:vAlign w:val="center"/>
            <w:hideMark/>
          </w:tcPr>
          <w:p w14:paraId="25312C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7883D8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F8A0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Raportowanie czasu pracy, wynagrodzeń (z wyszczególnieniem składników wynagrodzeń), w podziale na pracowników fizycznych, umysłowych i obcych oraz możliwość modyfikacji raportów.</w:t>
            </w:r>
          </w:p>
        </w:tc>
        <w:tc>
          <w:tcPr>
            <w:tcW w:w="850" w:type="dxa"/>
            <w:tcBorders>
              <w:top w:val="nil"/>
              <w:left w:val="nil"/>
              <w:bottom w:val="single" w:sz="8" w:space="0" w:color="auto"/>
              <w:right w:val="single" w:sz="8" w:space="0" w:color="auto"/>
            </w:tcBorders>
            <w:shd w:val="clear" w:color="auto" w:fill="auto"/>
            <w:vAlign w:val="center"/>
            <w:hideMark/>
          </w:tcPr>
          <w:p w14:paraId="6631975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2265BB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AD11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Raporty dotyczące zatrudnienia, liczonego na podstawie stanów dziennych, tj. przeciętne zatrudnienie za okres (np. miesiąca, czy wskazanych m-</w:t>
            </w:r>
            <w:proofErr w:type="spellStart"/>
            <w:r w:rsidRPr="00B97E7A">
              <w:rPr>
                <w:rFonts w:ascii="Times New Roman" w:eastAsia="Times New Roman" w:hAnsi="Times New Roman" w:cs="Times New Roman"/>
                <w:kern w:val="0"/>
                <w:sz w:val="28"/>
                <w:szCs w:val="28"/>
                <w:lang w:eastAsia="pl-PL"/>
                <w14:ligatures w14:val="none"/>
              </w:rPr>
              <w:t>cy</w:t>
            </w:r>
            <w:proofErr w:type="spellEnd"/>
            <w:r w:rsidRPr="00B97E7A">
              <w:rPr>
                <w:rFonts w:ascii="Times New Roman" w:eastAsia="Times New Roman" w:hAnsi="Times New Roman" w:cs="Times New Roman"/>
                <w:kern w:val="0"/>
                <w:sz w:val="28"/>
                <w:szCs w:val="28"/>
                <w:lang w:eastAsia="pl-PL"/>
                <w14:ligatures w14:val="none"/>
              </w:rPr>
              <w:t>), na wskazany dzień.</w:t>
            </w:r>
          </w:p>
        </w:tc>
        <w:tc>
          <w:tcPr>
            <w:tcW w:w="850" w:type="dxa"/>
            <w:tcBorders>
              <w:top w:val="nil"/>
              <w:left w:val="nil"/>
              <w:bottom w:val="single" w:sz="8" w:space="0" w:color="auto"/>
              <w:right w:val="single" w:sz="8" w:space="0" w:color="auto"/>
            </w:tcBorders>
            <w:shd w:val="clear" w:color="auto" w:fill="auto"/>
            <w:vAlign w:val="center"/>
            <w:hideMark/>
          </w:tcPr>
          <w:p w14:paraId="6A8EC4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5845E5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9979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26. Raporty do celów statystycznych z wynagrodzeń, czasu pracy i zatrudnienia (w tym przeciętne zatrudnienie bez </w:t>
            </w:r>
            <w:proofErr w:type="spellStart"/>
            <w:r w:rsidRPr="00B97E7A">
              <w:rPr>
                <w:rFonts w:ascii="Times New Roman" w:eastAsia="Times New Roman" w:hAnsi="Times New Roman" w:cs="Times New Roman"/>
                <w:kern w:val="0"/>
                <w:sz w:val="28"/>
                <w:szCs w:val="28"/>
                <w:lang w:eastAsia="pl-PL"/>
                <w14:ligatures w14:val="none"/>
              </w:rPr>
              <w:t>chorobówek</w:t>
            </w:r>
            <w:proofErr w:type="spellEnd"/>
            <w:r w:rsidRPr="00B97E7A">
              <w:rPr>
                <w:rFonts w:ascii="Times New Roman" w:eastAsia="Times New Roman" w:hAnsi="Times New Roman" w:cs="Times New Roman"/>
                <w:kern w:val="0"/>
                <w:sz w:val="28"/>
                <w:szCs w:val="28"/>
                <w:lang w:eastAsia="pl-PL"/>
                <w14:ligatures w14:val="none"/>
              </w:rPr>
              <w:t>, opieki itp.</w:t>
            </w:r>
          </w:p>
        </w:tc>
        <w:tc>
          <w:tcPr>
            <w:tcW w:w="850" w:type="dxa"/>
            <w:tcBorders>
              <w:top w:val="nil"/>
              <w:left w:val="nil"/>
              <w:bottom w:val="single" w:sz="8" w:space="0" w:color="auto"/>
              <w:right w:val="single" w:sz="8" w:space="0" w:color="auto"/>
            </w:tcBorders>
            <w:shd w:val="clear" w:color="auto" w:fill="auto"/>
            <w:vAlign w:val="center"/>
            <w:hideMark/>
          </w:tcPr>
          <w:p w14:paraId="5EDA3DD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F91B6D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2410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Możliwość dokonywania importu zatrudnienia na projekty controllingowe.</w:t>
            </w:r>
          </w:p>
        </w:tc>
        <w:tc>
          <w:tcPr>
            <w:tcW w:w="850" w:type="dxa"/>
            <w:tcBorders>
              <w:top w:val="nil"/>
              <w:left w:val="nil"/>
              <w:bottom w:val="single" w:sz="8" w:space="0" w:color="auto"/>
              <w:right w:val="single" w:sz="8" w:space="0" w:color="auto"/>
            </w:tcBorders>
            <w:shd w:val="clear" w:color="auto" w:fill="auto"/>
            <w:vAlign w:val="center"/>
            <w:hideMark/>
          </w:tcPr>
          <w:p w14:paraId="6C9F1F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BB1140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1FD8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Możliwość wyliczania średnich stawek wynagrodzeń (za dany miesiąc, okres) wg działów, pracowników fizycznych i umysłowych oraz stanowisk na potrzeby kalkulacji usług odpłatnych.</w:t>
            </w:r>
          </w:p>
        </w:tc>
        <w:tc>
          <w:tcPr>
            <w:tcW w:w="850" w:type="dxa"/>
            <w:tcBorders>
              <w:top w:val="nil"/>
              <w:left w:val="nil"/>
              <w:bottom w:val="single" w:sz="8" w:space="0" w:color="auto"/>
              <w:right w:val="single" w:sz="8" w:space="0" w:color="auto"/>
            </w:tcBorders>
            <w:shd w:val="clear" w:color="auto" w:fill="auto"/>
            <w:vAlign w:val="center"/>
            <w:hideMark/>
          </w:tcPr>
          <w:p w14:paraId="54B340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6AFC1B1"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5A0D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29. Możliwość planowania wynagrodzeń na działy z uwzględnieniem składników wzrostu w planie zatrudnienia w podziale na wynagrodzenia bezpośrednie i inne (odprawy emerytalne, wynagrodzenia bezosobowe itp.) wsparcie systemu przy tworzeniu planu zatrudnienia przez poszczególne działy.</w:t>
            </w:r>
          </w:p>
        </w:tc>
        <w:tc>
          <w:tcPr>
            <w:tcW w:w="850" w:type="dxa"/>
            <w:tcBorders>
              <w:top w:val="nil"/>
              <w:left w:val="nil"/>
              <w:bottom w:val="single" w:sz="8" w:space="0" w:color="auto"/>
              <w:right w:val="single" w:sz="8" w:space="0" w:color="auto"/>
            </w:tcBorders>
            <w:shd w:val="clear" w:color="auto" w:fill="auto"/>
            <w:vAlign w:val="center"/>
            <w:hideMark/>
          </w:tcPr>
          <w:p w14:paraId="40CBD4C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E93109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A6A1D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Stworzenie przejrzystej procedury tworzenia planów rzeczowo – finansowych wraz z harmonogramem pracy.</w:t>
            </w:r>
          </w:p>
        </w:tc>
        <w:tc>
          <w:tcPr>
            <w:tcW w:w="850" w:type="dxa"/>
            <w:tcBorders>
              <w:top w:val="nil"/>
              <w:left w:val="nil"/>
              <w:bottom w:val="single" w:sz="8" w:space="0" w:color="auto"/>
              <w:right w:val="single" w:sz="8" w:space="0" w:color="auto"/>
            </w:tcBorders>
            <w:shd w:val="clear" w:color="auto" w:fill="auto"/>
            <w:vAlign w:val="center"/>
            <w:hideMark/>
          </w:tcPr>
          <w:p w14:paraId="369C20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4984F7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EF50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Zagwarantowanie szybkiego czasu generowania raportów i wydruków.</w:t>
            </w:r>
          </w:p>
        </w:tc>
        <w:tc>
          <w:tcPr>
            <w:tcW w:w="850" w:type="dxa"/>
            <w:tcBorders>
              <w:top w:val="nil"/>
              <w:left w:val="nil"/>
              <w:bottom w:val="single" w:sz="8" w:space="0" w:color="auto"/>
              <w:right w:val="single" w:sz="8" w:space="0" w:color="auto"/>
            </w:tcBorders>
            <w:shd w:val="clear" w:color="auto" w:fill="auto"/>
            <w:vAlign w:val="center"/>
            <w:hideMark/>
          </w:tcPr>
          <w:p w14:paraId="19F62F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A9B10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2E4C7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Możliwość samodzielnego raportowania w systemie na bazie danych z FK, z projektów controllingowych, kosztowych i ilościowych z możliwością wprowadzania danych z ręki.</w:t>
            </w:r>
          </w:p>
        </w:tc>
        <w:tc>
          <w:tcPr>
            <w:tcW w:w="850" w:type="dxa"/>
            <w:tcBorders>
              <w:top w:val="nil"/>
              <w:left w:val="nil"/>
              <w:bottom w:val="single" w:sz="8" w:space="0" w:color="auto"/>
              <w:right w:val="single" w:sz="8" w:space="0" w:color="auto"/>
            </w:tcBorders>
            <w:shd w:val="clear" w:color="auto" w:fill="auto"/>
            <w:vAlign w:val="center"/>
            <w:hideMark/>
          </w:tcPr>
          <w:p w14:paraId="353789A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1227B0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F8303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Zapisywanie tymczasowej wersji raportu i możliwość powrotu do układu raportu z konkretnej daty.</w:t>
            </w:r>
          </w:p>
        </w:tc>
        <w:tc>
          <w:tcPr>
            <w:tcW w:w="850" w:type="dxa"/>
            <w:tcBorders>
              <w:top w:val="nil"/>
              <w:left w:val="nil"/>
              <w:bottom w:val="single" w:sz="8" w:space="0" w:color="auto"/>
              <w:right w:val="single" w:sz="8" w:space="0" w:color="auto"/>
            </w:tcBorders>
            <w:shd w:val="clear" w:color="auto" w:fill="auto"/>
            <w:vAlign w:val="center"/>
            <w:hideMark/>
          </w:tcPr>
          <w:p w14:paraId="525E27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CAE84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D61F26"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IV. ŚRODKI TRWAŁE</w:t>
            </w:r>
          </w:p>
        </w:tc>
        <w:tc>
          <w:tcPr>
            <w:tcW w:w="850" w:type="dxa"/>
            <w:tcBorders>
              <w:top w:val="nil"/>
              <w:left w:val="nil"/>
              <w:bottom w:val="single" w:sz="8" w:space="0" w:color="auto"/>
              <w:right w:val="single" w:sz="8" w:space="0" w:color="auto"/>
            </w:tcBorders>
            <w:shd w:val="clear" w:color="000000" w:fill="A6A6A6"/>
            <w:vAlign w:val="center"/>
            <w:hideMark/>
          </w:tcPr>
          <w:p w14:paraId="0B75AE5B"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23C758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2B92B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MAJĄTEK TRWAŁY</w:t>
            </w:r>
          </w:p>
        </w:tc>
        <w:tc>
          <w:tcPr>
            <w:tcW w:w="850" w:type="dxa"/>
            <w:tcBorders>
              <w:top w:val="nil"/>
              <w:left w:val="nil"/>
              <w:bottom w:val="single" w:sz="8" w:space="0" w:color="auto"/>
              <w:right w:val="single" w:sz="8" w:space="0" w:color="auto"/>
            </w:tcBorders>
            <w:shd w:val="clear" w:color="000000" w:fill="A6A6A6"/>
            <w:vAlign w:val="center"/>
            <w:hideMark/>
          </w:tcPr>
          <w:p w14:paraId="38A7A3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F1BB61C"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76B9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 Prowadzenie pełnej ewidencji bilansowej ilościowej oraz ilościowo-wartościowej środków trwałych, wartości niematerialnych i prawnych, </w:t>
            </w:r>
            <w:proofErr w:type="spellStart"/>
            <w:r w:rsidRPr="00B97E7A">
              <w:rPr>
                <w:rFonts w:ascii="Times New Roman" w:eastAsia="Times New Roman" w:hAnsi="Times New Roman" w:cs="Times New Roman"/>
                <w:kern w:val="0"/>
                <w:sz w:val="28"/>
                <w:szCs w:val="28"/>
                <w:lang w:eastAsia="pl-PL"/>
                <w14:ligatures w14:val="none"/>
              </w:rPr>
              <w:t>niskocennych</w:t>
            </w:r>
            <w:proofErr w:type="spellEnd"/>
            <w:r w:rsidRPr="00B97E7A">
              <w:rPr>
                <w:rFonts w:ascii="Times New Roman" w:eastAsia="Times New Roman" w:hAnsi="Times New Roman" w:cs="Times New Roman"/>
                <w:kern w:val="0"/>
                <w:sz w:val="28"/>
                <w:szCs w:val="28"/>
                <w:lang w:eastAsia="pl-PL"/>
                <w14:ligatures w14:val="none"/>
              </w:rPr>
              <w:t xml:space="preserve"> środków trwałych i pozabilansowych składników majątku – zgodnie z przepisami ustawy o rachunkowości, ustawy o podatku dochodowym od osób prawnych.</w:t>
            </w:r>
          </w:p>
        </w:tc>
        <w:tc>
          <w:tcPr>
            <w:tcW w:w="850" w:type="dxa"/>
            <w:tcBorders>
              <w:top w:val="nil"/>
              <w:left w:val="nil"/>
              <w:bottom w:val="single" w:sz="8" w:space="0" w:color="auto"/>
              <w:right w:val="single" w:sz="8" w:space="0" w:color="auto"/>
            </w:tcBorders>
            <w:shd w:val="clear" w:color="auto" w:fill="auto"/>
            <w:vAlign w:val="center"/>
            <w:hideMark/>
          </w:tcPr>
          <w:p w14:paraId="49AEB9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364166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261D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Słownik źródeł finansowania z możliwością modyfikacji i dodawania nowych pozycji do słownika.</w:t>
            </w:r>
          </w:p>
        </w:tc>
        <w:tc>
          <w:tcPr>
            <w:tcW w:w="850" w:type="dxa"/>
            <w:tcBorders>
              <w:top w:val="nil"/>
              <w:left w:val="nil"/>
              <w:bottom w:val="single" w:sz="8" w:space="0" w:color="auto"/>
              <w:right w:val="single" w:sz="8" w:space="0" w:color="auto"/>
            </w:tcBorders>
            <w:shd w:val="clear" w:color="auto" w:fill="auto"/>
            <w:vAlign w:val="center"/>
            <w:hideMark/>
          </w:tcPr>
          <w:p w14:paraId="52495C3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45AB5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BB64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wprowadzania wielu źródeł finansowania do każdego środka trwałego.</w:t>
            </w:r>
          </w:p>
        </w:tc>
        <w:tc>
          <w:tcPr>
            <w:tcW w:w="850" w:type="dxa"/>
            <w:tcBorders>
              <w:top w:val="nil"/>
              <w:left w:val="nil"/>
              <w:bottom w:val="single" w:sz="8" w:space="0" w:color="auto"/>
              <w:right w:val="single" w:sz="8" w:space="0" w:color="auto"/>
            </w:tcBorders>
            <w:shd w:val="clear" w:color="auto" w:fill="auto"/>
            <w:vAlign w:val="center"/>
            <w:hideMark/>
          </w:tcPr>
          <w:p w14:paraId="5CF828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A4BB5D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C9F8E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Rejestr zmian według źródeł finansowania.</w:t>
            </w:r>
          </w:p>
        </w:tc>
        <w:tc>
          <w:tcPr>
            <w:tcW w:w="850" w:type="dxa"/>
            <w:tcBorders>
              <w:top w:val="nil"/>
              <w:left w:val="nil"/>
              <w:bottom w:val="single" w:sz="8" w:space="0" w:color="auto"/>
              <w:right w:val="single" w:sz="8" w:space="0" w:color="auto"/>
            </w:tcBorders>
            <w:shd w:val="clear" w:color="auto" w:fill="auto"/>
            <w:vAlign w:val="center"/>
            <w:hideMark/>
          </w:tcPr>
          <w:p w14:paraId="0D5E6B6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E6B41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8D09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Amortyzacja rachunkowa i podatkowa.</w:t>
            </w:r>
          </w:p>
        </w:tc>
        <w:tc>
          <w:tcPr>
            <w:tcW w:w="850" w:type="dxa"/>
            <w:tcBorders>
              <w:top w:val="nil"/>
              <w:left w:val="nil"/>
              <w:bottom w:val="single" w:sz="8" w:space="0" w:color="auto"/>
              <w:right w:val="single" w:sz="8" w:space="0" w:color="auto"/>
            </w:tcBorders>
            <w:shd w:val="clear" w:color="auto" w:fill="auto"/>
            <w:vAlign w:val="center"/>
            <w:hideMark/>
          </w:tcPr>
          <w:p w14:paraId="4EA7A8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5C3A9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98C1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6. Możliwość podziału składników majątku trwałego na zbiory środków trwałych (ST), </w:t>
            </w:r>
            <w:proofErr w:type="spellStart"/>
            <w:r w:rsidRPr="00B97E7A">
              <w:rPr>
                <w:rFonts w:ascii="Times New Roman" w:eastAsia="Times New Roman" w:hAnsi="Times New Roman" w:cs="Times New Roman"/>
                <w:kern w:val="0"/>
                <w:sz w:val="28"/>
                <w:szCs w:val="28"/>
                <w:lang w:eastAsia="pl-PL"/>
                <w14:ligatures w14:val="none"/>
              </w:rPr>
              <w:t>niskocennych</w:t>
            </w:r>
            <w:proofErr w:type="spellEnd"/>
            <w:r w:rsidRPr="00B97E7A">
              <w:rPr>
                <w:rFonts w:ascii="Times New Roman" w:eastAsia="Times New Roman" w:hAnsi="Times New Roman" w:cs="Times New Roman"/>
                <w:kern w:val="0"/>
                <w:sz w:val="28"/>
                <w:szCs w:val="28"/>
                <w:lang w:eastAsia="pl-PL"/>
                <w14:ligatures w14:val="none"/>
              </w:rPr>
              <w:t xml:space="preserve"> składników majątku trwałego (NS), wartości niematerialne i prawne (NM), środki trwałe pozabilansowe (PB).</w:t>
            </w:r>
          </w:p>
        </w:tc>
        <w:tc>
          <w:tcPr>
            <w:tcW w:w="850" w:type="dxa"/>
            <w:tcBorders>
              <w:top w:val="nil"/>
              <w:left w:val="nil"/>
              <w:bottom w:val="single" w:sz="8" w:space="0" w:color="auto"/>
              <w:right w:val="single" w:sz="8" w:space="0" w:color="auto"/>
            </w:tcBorders>
            <w:shd w:val="clear" w:color="auto" w:fill="auto"/>
            <w:vAlign w:val="center"/>
            <w:hideMark/>
          </w:tcPr>
          <w:p w14:paraId="6856A7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C9C78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4181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Numeracja środków trwałych dla każdego zbioru osobno z możliwością wykorzystania słowników (np. KŚT, obiekt) i dopuszczalną długością numeru do 20 znaków.</w:t>
            </w:r>
          </w:p>
        </w:tc>
        <w:tc>
          <w:tcPr>
            <w:tcW w:w="850" w:type="dxa"/>
            <w:tcBorders>
              <w:top w:val="nil"/>
              <w:left w:val="nil"/>
              <w:bottom w:val="single" w:sz="8" w:space="0" w:color="auto"/>
              <w:right w:val="single" w:sz="8" w:space="0" w:color="auto"/>
            </w:tcBorders>
            <w:shd w:val="clear" w:color="auto" w:fill="auto"/>
            <w:vAlign w:val="center"/>
            <w:hideMark/>
          </w:tcPr>
          <w:p w14:paraId="1C1153D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C1155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F771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8. Możliwość zdefiniowania wielu typów dokumentów (OT, LT, MT, KO) dla każdego zbioru osobno.</w:t>
            </w:r>
          </w:p>
        </w:tc>
        <w:tc>
          <w:tcPr>
            <w:tcW w:w="850" w:type="dxa"/>
            <w:tcBorders>
              <w:top w:val="nil"/>
              <w:left w:val="nil"/>
              <w:bottom w:val="single" w:sz="8" w:space="0" w:color="auto"/>
              <w:right w:val="single" w:sz="8" w:space="0" w:color="auto"/>
            </w:tcBorders>
            <w:shd w:val="clear" w:color="auto" w:fill="auto"/>
            <w:vAlign w:val="center"/>
            <w:hideMark/>
          </w:tcPr>
          <w:p w14:paraId="61C5AE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DBADE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5C75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tworzenia dokumentów LT, MT częściowych lub całkowitych.</w:t>
            </w:r>
          </w:p>
        </w:tc>
        <w:tc>
          <w:tcPr>
            <w:tcW w:w="850" w:type="dxa"/>
            <w:tcBorders>
              <w:top w:val="nil"/>
              <w:left w:val="nil"/>
              <w:bottom w:val="single" w:sz="8" w:space="0" w:color="auto"/>
              <w:right w:val="single" w:sz="8" w:space="0" w:color="auto"/>
            </w:tcBorders>
            <w:shd w:val="clear" w:color="auto" w:fill="auto"/>
            <w:vAlign w:val="center"/>
            <w:hideMark/>
          </w:tcPr>
          <w:p w14:paraId="0718B4C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4B627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AB43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zmiany źródła finansowania (np. zmiana wartości i umorzenia dla stawki P,R) w dokumentach KO.</w:t>
            </w:r>
          </w:p>
        </w:tc>
        <w:tc>
          <w:tcPr>
            <w:tcW w:w="850" w:type="dxa"/>
            <w:tcBorders>
              <w:top w:val="nil"/>
              <w:left w:val="nil"/>
              <w:bottom w:val="single" w:sz="8" w:space="0" w:color="auto"/>
              <w:right w:val="single" w:sz="8" w:space="0" w:color="auto"/>
            </w:tcBorders>
            <w:shd w:val="clear" w:color="auto" w:fill="auto"/>
            <w:vAlign w:val="center"/>
            <w:hideMark/>
          </w:tcPr>
          <w:p w14:paraId="544C0AE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9D2311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0C3BB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wystawiania kilku dokumentów na jednym środku trwałym w jednym miesiącu (np. z uwzględnieniem zmian wartości, umorzenia w podziale na źródła).</w:t>
            </w:r>
          </w:p>
        </w:tc>
        <w:tc>
          <w:tcPr>
            <w:tcW w:w="850" w:type="dxa"/>
            <w:tcBorders>
              <w:top w:val="nil"/>
              <w:left w:val="nil"/>
              <w:bottom w:val="single" w:sz="8" w:space="0" w:color="auto"/>
              <w:right w:val="single" w:sz="8" w:space="0" w:color="auto"/>
            </w:tcBorders>
            <w:shd w:val="clear" w:color="auto" w:fill="auto"/>
            <w:vAlign w:val="center"/>
            <w:hideMark/>
          </w:tcPr>
          <w:p w14:paraId="7F5B3A2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0D15C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B1702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modyfikacji dokumentów do momentu naliczenia amortyzacji miesięcznej.</w:t>
            </w:r>
          </w:p>
        </w:tc>
        <w:tc>
          <w:tcPr>
            <w:tcW w:w="850" w:type="dxa"/>
            <w:tcBorders>
              <w:top w:val="nil"/>
              <w:left w:val="nil"/>
              <w:bottom w:val="single" w:sz="8" w:space="0" w:color="auto"/>
              <w:right w:val="single" w:sz="8" w:space="0" w:color="auto"/>
            </w:tcBorders>
            <w:shd w:val="clear" w:color="auto" w:fill="auto"/>
            <w:vAlign w:val="center"/>
            <w:hideMark/>
          </w:tcPr>
          <w:p w14:paraId="1528889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8C635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0A00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Naliczanie amortyzacji miesięcznej, możliwość wycofania naliczonej amortyzacji, zamknięcie roku.</w:t>
            </w:r>
          </w:p>
        </w:tc>
        <w:tc>
          <w:tcPr>
            <w:tcW w:w="850" w:type="dxa"/>
            <w:tcBorders>
              <w:top w:val="nil"/>
              <w:left w:val="nil"/>
              <w:bottom w:val="single" w:sz="8" w:space="0" w:color="auto"/>
              <w:right w:val="single" w:sz="8" w:space="0" w:color="auto"/>
            </w:tcBorders>
            <w:shd w:val="clear" w:color="auto" w:fill="auto"/>
            <w:vAlign w:val="center"/>
            <w:hideMark/>
          </w:tcPr>
          <w:p w14:paraId="4EB40E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0A94D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CCC1A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tworzenia własnych wydruków z majątku pod kątem różnych danych zawartych w kartotece.</w:t>
            </w:r>
          </w:p>
        </w:tc>
        <w:tc>
          <w:tcPr>
            <w:tcW w:w="850" w:type="dxa"/>
            <w:tcBorders>
              <w:top w:val="nil"/>
              <w:left w:val="nil"/>
              <w:bottom w:val="single" w:sz="8" w:space="0" w:color="auto"/>
              <w:right w:val="single" w:sz="8" w:space="0" w:color="auto"/>
            </w:tcBorders>
            <w:shd w:val="clear" w:color="auto" w:fill="auto"/>
            <w:vAlign w:val="center"/>
            <w:hideMark/>
          </w:tcPr>
          <w:p w14:paraId="2A2ECA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58493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FCCB7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Wydruki amortyzacji, planów amortyzacji z podziałem na źródła, konta kosztów, projekty.</w:t>
            </w:r>
          </w:p>
        </w:tc>
        <w:tc>
          <w:tcPr>
            <w:tcW w:w="850" w:type="dxa"/>
            <w:tcBorders>
              <w:top w:val="nil"/>
              <w:left w:val="nil"/>
              <w:bottom w:val="single" w:sz="8" w:space="0" w:color="auto"/>
              <w:right w:val="single" w:sz="8" w:space="0" w:color="auto"/>
            </w:tcBorders>
            <w:shd w:val="clear" w:color="auto" w:fill="auto"/>
            <w:vAlign w:val="center"/>
            <w:hideMark/>
          </w:tcPr>
          <w:p w14:paraId="4D1608B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1B27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FC9C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Wydruki źródeł finansowania.</w:t>
            </w:r>
          </w:p>
        </w:tc>
        <w:tc>
          <w:tcPr>
            <w:tcW w:w="850" w:type="dxa"/>
            <w:tcBorders>
              <w:top w:val="nil"/>
              <w:left w:val="nil"/>
              <w:bottom w:val="single" w:sz="8" w:space="0" w:color="auto"/>
              <w:right w:val="single" w:sz="8" w:space="0" w:color="auto"/>
            </w:tcBorders>
            <w:shd w:val="clear" w:color="auto" w:fill="auto"/>
            <w:vAlign w:val="center"/>
            <w:hideMark/>
          </w:tcPr>
          <w:p w14:paraId="001D8F9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00D613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B9774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Wydruki rejestrów zmian według rodzajów dokumentów, stawek, źródeł finansowania.</w:t>
            </w:r>
          </w:p>
        </w:tc>
        <w:tc>
          <w:tcPr>
            <w:tcW w:w="850" w:type="dxa"/>
            <w:tcBorders>
              <w:top w:val="nil"/>
              <w:left w:val="nil"/>
              <w:bottom w:val="single" w:sz="8" w:space="0" w:color="auto"/>
              <w:right w:val="single" w:sz="8" w:space="0" w:color="auto"/>
            </w:tcBorders>
            <w:shd w:val="clear" w:color="auto" w:fill="auto"/>
            <w:vAlign w:val="center"/>
            <w:hideMark/>
          </w:tcPr>
          <w:p w14:paraId="7320E5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0FF50E"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57F2E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tworzenia i modyfikacji słowników parametrów np. osoby odpowiedzialne materialnie, komórki organizacyjne, stan środka trwałego, pochodzenie, księga wieczysta, forma własności, źródła finansowania, rodzaj sieci, rodzaj materiału, średnica, działka, lokalizacja, słownik obiektów, itp.</w:t>
            </w:r>
          </w:p>
        </w:tc>
        <w:tc>
          <w:tcPr>
            <w:tcW w:w="850" w:type="dxa"/>
            <w:tcBorders>
              <w:top w:val="nil"/>
              <w:left w:val="nil"/>
              <w:bottom w:val="single" w:sz="8" w:space="0" w:color="auto"/>
              <w:right w:val="single" w:sz="8" w:space="0" w:color="auto"/>
            </w:tcBorders>
            <w:shd w:val="clear" w:color="auto" w:fill="auto"/>
            <w:vAlign w:val="center"/>
            <w:hideMark/>
          </w:tcPr>
          <w:p w14:paraId="450EFD1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1CE7C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38FF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Historia zmian wszystkich parametrów środka trwałego.</w:t>
            </w:r>
          </w:p>
        </w:tc>
        <w:tc>
          <w:tcPr>
            <w:tcW w:w="850" w:type="dxa"/>
            <w:tcBorders>
              <w:top w:val="nil"/>
              <w:left w:val="nil"/>
              <w:bottom w:val="single" w:sz="8" w:space="0" w:color="auto"/>
              <w:right w:val="single" w:sz="8" w:space="0" w:color="auto"/>
            </w:tcBorders>
            <w:shd w:val="clear" w:color="auto" w:fill="auto"/>
            <w:vAlign w:val="center"/>
            <w:hideMark/>
          </w:tcPr>
          <w:p w14:paraId="4BB028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67A04A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F38A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Inwentaryzacja - arkusze spisowe, rozliczenie inwentaryzacji.</w:t>
            </w:r>
          </w:p>
        </w:tc>
        <w:tc>
          <w:tcPr>
            <w:tcW w:w="850" w:type="dxa"/>
            <w:tcBorders>
              <w:top w:val="nil"/>
              <w:left w:val="nil"/>
              <w:bottom w:val="single" w:sz="8" w:space="0" w:color="auto"/>
              <w:right w:val="single" w:sz="8" w:space="0" w:color="auto"/>
            </w:tcBorders>
            <w:shd w:val="clear" w:color="auto" w:fill="auto"/>
            <w:vAlign w:val="center"/>
            <w:hideMark/>
          </w:tcPr>
          <w:p w14:paraId="2D12D4C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6FA0F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211482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Podatek od nieruchomości - wydruki według wprowadzonych na środkach trwałych parametrów.</w:t>
            </w:r>
          </w:p>
        </w:tc>
        <w:tc>
          <w:tcPr>
            <w:tcW w:w="850" w:type="dxa"/>
            <w:tcBorders>
              <w:top w:val="nil"/>
              <w:left w:val="nil"/>
              <w:bottom w:val="single" w:sz="8" w:space="0" w:color="auto"/>
              <w:right w:val="single" w:sz="8" w:space="0" w:color="auto"/>
            </w:tcBorders>
            <w:shd w:val="clear" w:color="auto" w:fill="auto"/>
            <w:vAlign w:val="center"/>
            <w:hideMark/>
          </w:tcPr>
          <w:p w14:paraId="7C09863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E989C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7FC0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prowadzenia odrębnej ewidencji posiadanych obcych środków majątkowych lub własnych użyczonych na zewnątrz.</w:t>
            </w:r>
          </w:p>
        </w:tc>
        <w:tc>
          <w:tcPr>
            <w:tcW w:w="850" w:type="dxa"/>
            <w:tcBorders>
              <w:top w:val="nil"/>
              <w:left w:val="nil"/>
              <w:bottom w:val="single" w:sz="8" w:space="0" w:color="auto"/>
              <w:right w:val="single" w:sz="8" w:space="0" w:color="auto"/>
            </w:tcBorders>
            <w:shd w:val="clear" w:color="auto" w:fill="auto"/>
            <w:vAlign w:val="center"/>
            <w:hideMark/>
          </w:tcPr>
          <w:p w14:paraId="550FCA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5907D9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580F7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Rejestrowanie wszystkich zmian w składnikach majątku wraz z przemieszczaniem składników majątku z zachowaniem historii przemieszczania, z możliwością odtwarzania historii zmian.</w:t>
            </w:r>
          </w:p>
        </w:tc>
        <w:tc>
          <w:tcPr>
            <w:tcW w:w="850" w:type="dxa"/>
            <w:tcBorders>
              <w:top w:val="nil"/>
              <w:left w:val="nil"/>
              <w:bottom w:val="single" w:sz="8" w:space="0" w:color="auto"/>
              <w:right w:val="single" w:sz="8" w:space="0" w:color="auto"/>
            </w:tcBorders>
            <w:shd w:val="clear" w:color="auto" w:fill="auto"/>
            <w:vAlign w:val="center"/>
            <w:hideMark/>
          </w:tcPr>
          <w:p w14:paraId="2055C5C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6DB36FE"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2FDD9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24. Wprowadzenie jako podstawy do operacji dokonywanych przez moduł oprogramowania użytkowego:</w:t>
            </w:r>
            <w:r w:rsidRPr="00B97E7A">
              <w:rPr>
                <w:rFonts w:ascii="Times New Roman" w:eastAsia="Times New Roman" w:hAnsi="Times New Roman" w:cs="Times New Roman"/>
                <w:kern w:val="0"/>
                <w:sz w:val="28"/>
                <w:szCs w:val="28"/>
                <w:lang w:eastAsia="pl-PL"/>
                <w14:ligatures w14:val="none"/>
              </w:rPr>
              <w:br/>
              <w:t>a) rejestru klasyfikacji środków trwałych (KŚT) wg GUS – automatyczne określanie Klasyfikacji Środków Trwałych GUS (grupy, podgrupy, rodzaje),</w:t>
            </w:r>
            <w:r w:rsidRPr="00B97E7A">
              <w:rPr>
                <w:rFonts w:ascii="Times New Roman" w:eastAsia="Times New Roman" w:hAnsi="Times New Roman" w:cs="Times New Roman"/>
                <w:kern w:val="0"/>
                <w:sz w:val="28"/>
                <w:szCs w:val="28"/>
                <w:lang w:eastAsia="pl-PL"/>
                <w14:ligatures w14:val="none"/>
              </w:rPr>
              <w:br/>
              <w:t>b) rejestru stawek amortyzacyjnych środków trwałych, zgodnych z przepisami i automatyczne ich nadawanie.</w:t>
            </w:r>
          </w:p>
        </w:tc>
        <w:tc>
          <w:tcPr>
            <w:tcW w:w="850" w:type="dxa"/>
            <w:tcBorders>
              <w:top w:val="nil"/>
              <w:left w:val="nil"/>
              <w:bottom w:val="single" w:sz="8" w:space="0" w:color="auto"/>
              <w:right w:val="single" w:sz="8" w:space="0" w:color="auto"/>
            </w:tcBorders>
            <w:shd w:val="clear" w:color="auto" w:fill="auto"/>
            <w:vAlign w:val="center"/>
            <w:hideMark/>
          </w:tcPr>
          <w:p w14:paraId="3E54660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2915C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D992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Prowadzenie bazy pomieszczeń z uwzględnieniem wielu różnych lokalizacji (budynków, w których znajdują się składniki majątku).</w:t>
            </w:r>
          </w:p>
        </w:tc>
        <w:tc>
          <w:tcPr>
            <w:tcW w:w="850" w:type="dxa"/>
            <w:tcBorders>
              <w:top w:val="nil"/>
              <w:left w:val="nil"/>
              <w:bottom w:val="single" w:sz="8" w:space="0" w:color="auto"/>
              <w:right w:val="single" w:sz="8" w:space="0" w:color="auto"/>
            </w:tcBorders>
            <w:shd w:val="clear" w:color="auto" w:fill="auto"/>
            <w:vAlign w:val="center"/>
            <w:hideMark/>
          </w:tcPr>
          <w:p w14:paraId="4FCE80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7BDCF2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3527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Możliwość przypisania pomieszczenia do komórki organizacyjnej i/lub użytkownika.</w:t>
            </w:r>
          </w:p>
        </w:tc>
        <w:tc>
          <w:tcPr>
            <w:tcW w:w="850" w:type="dxa"/>
            <w:tcBorders>
              <w:top w:val="nil"/>
              <w:left w:val="nil"/>
              <w:bottom w:val="single" w:sz="8" w:space="0" w:color="auto"/>
              <w:right w:val="single" w:sz="8" w:space="0" w:color="auto"/>
            </w:tcBorders>
            <w:shd w:val="clear" w:color="auto" w:fill="auto"/>
            <w:vAlign w:val="center"/>
            <w:hideMark/>
          </w:tcPr>
          <w:p w14:paraId="294283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891E79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C00F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Możliwość przypisania składnika majątku/wyposażenia do pomieszczenia oraz do pracownika/osoby materialnie odpowiedzialnej.</w:t>
            </w:r>
          </w:p>
        </w:tc>
        <w:tc>
          <w:tcPr>
            <w:tcW w:w="850" w:type="dxa"/>
            <w:tcBorders>
              <w:top w:val="nil"/>
              <w:left w:val="nil"/>
              <w:bottom w:val="single" w:sz="8" w:space="0" w:color="auto"/>
              <w:right w:val="single" w:sz="8" w:space="0" w:color="auto"/>
            </w:tcBorders>
            <w:shd w:val="clear" w:color="auto" w:fill="auto"/>
            <w:vAlign w:val="center"/>
            <w:hideMark/>
          </w:tcPr>
          <w:p w14:paraId="2E0FA0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0545F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6ED1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Możliwość prowadzenia ewidencji dokumentów związanych z obrotem majątkiem trwałym z automatycznym nadawaniem numerów dokumentów każdego typu niezależnie.</w:t>
            </w:r>
          </w:p>
        </w:tc>
        <w:tc>
          <w:tcPr>
            <w:tcW w:w="850" w:type="dxa"/>
            <w:tcBorders>
              <w:top w:val="nil"/>
              <w:left w:val="nil"/>
              <w:bottom w:val="single" w:sz="8" w:space="0" w:color="auto"/>
              <w:right w:val="single" w:sz="8" w:space="0" w:color="auto"/>
            </w:tcBorders>
            <w:shd w:val="clear" w:color="auto" w:fill="auto"/>
            <w:vAlign w:val="center"/>
            <w:hideMark/>
          </w:tcPr>
          <w:p w14:paraId="367134D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54FB27" w14:textId="77777777" w:rsidTr="00B97E7A">
        <w:trPr>
          <w:trHeight w:val="8192"/>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5A17E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29. Ewidencja elektroniczna środków trwałych i środków trwałych o charakterze wyposażenia z uwzględnieniem na karcie środka w szczególności:</w:t>
            </w:r>
            <w:r w:rsidRPr="00B97E7A">
              <w:rPr>
                <w:rFonts w:ascii="Times New Roman" w:eastAsia="Times New Roman" w:hAnsi="Times New Roman" w:cs="Times New Roman"/>
                <w:kern w:val="0"/>
                <w:sz w:val="28"/>
                <w:szCs w:val="28"/>
                <w:lang w:eastAsia="pl-PL"/>
                <w14:ligatures w14:val="none"/>
              </w:rPr>
              <w:br/>
            </w:r>
            <w:r w:rsidRPr="00B97E7A">
              <w:rPr>
                <w:rFonts w:ascii="Times New Roman" w:eastAsia="Times New Roman" w:hAnsi="Times New Roman" w:cs="Times New Roman"/>
                <w:kern w:val="0"/>
                <w:sz w:val="26"/>
                <w:szCs w:val="26"/>
                <w:lang w:eastAsia="pl-PL"/>
                <w14:ligatures w14:val="none"/>
              </w:rPr>
              <w:t>a) numeru ewidencyjnego (inwentarzowego),</w:t>
            </w:r>
            <w:r w:rsidRPr="00B97E7A">
              <w:rPr>
                <w:rFonts w:ascii="Times New Roman" w:eastAsia="Times New Roman" w:hAnsi="Times New Roman" w:cs="Times New Roman"/>
                <w:kern w:val="0"/>
                <w:sz w:val="26"/>
                <w:szCs w:val="26"/>
                <w:lang w:eastAsia="pl-PL"/>
                <w14:ligatures w14:val="none"/>
              </w:rPr>
              <w:br/>
              <w:t>b) nazwy środka,</w:t>
            </w:r>
            <w:r w:rsidRPr="00B97E7A">
              <w:rPr>
                <w:rFonts w:ascii="Times New Roman" w:eastAsia="Times New Roman" w:hAnsi="Times New Roman" w:cs="Times New Roman"/>
                <w:kern w:val="0"/>
                <w:sz w:val="26"/>
                <w:szCs w:val="26"/>
                <w:lang w:eastAsia="pl-PL"/>
                <w14:ligatures w14:val="none"/>
              </w:rPr>
              <w:br/>
              <w:t>c) wartości środka,</w:t>
            </w:r>
            <w:r w:rsidRPr="00B97E7A">
              <w:rPr>
                <w:rFonts w:ascii="Times New Roman" w:eastAsia="Times New Roman" w:hAnsi="Times New Roman" w:cs="Times New Roman"/>
                <w:kern w:val="0"/>
                <w:sz w:val="26"/>
                <w:szCs w:val="26"/>
                <w:lang w:eastAsia="pl-PL"/>
                <w14:ligatures w14:val="none"/>
              </w:rPr>
              <w:br/>
              <w:t>d) naliczania amortyzacji i umorzeń metodami określonymi w ustawie o rachunkowości i ustawach podatkowych, ze szczególnym uwzględnieniem metody liniowej,</w:t>
            </w:r>
            <w:r w:rsidRPr="00B97E7A">
              <w:rPr>
                <w:rFonts w:ascii="Times New Roman" w:eastAsia="Times New Roman" w:hAnsi="Times New Roman" w:cs="Times New Roman"/>
                <w:kern w:val="0"/>
                <w:sz w:val="26"/>
                <w:szCs w:val="26"/>
                <w:lang w:eastAsia="pl-PL"/>
                <w14:ligatures w14:val="none"/>
              </w:rPr>
              <w:br/>
              <w:t>e) daty i numeru dokumentu księgowego,</w:t>
            </w:r>
            <w:r w:rsidRPr="00B97E7A">
              <w:rPr>
                <w:rFonts w:ascii="Times New Roman" w:eastAsia="Times New Roman" w:hAnsi="Times New Roman" w:cs="Times New Roman"/>
                <w:kern w:val="0"/>
                <w:sz w:val="26"/>
                <w:szCs w:val="26"/>
                <w:lang w:eastAsia="pl-PL"/>
                <w14:ligatures w14:val="none"/>
              </w:rPr>
              <w:br/>
              <w:t>f) daty i numeru faktury, na podstawie której środek został zakupiony,</w:t>
            </w:r>
            <w:r w:rsidRPr="00B97E7A">
              <w:rPr>
                <w:rFonts w:ascii="Times New Roman" w:eastAsia="Times New Roman" w:hAnsi="Times New Roman" w:cs="Times New Roman"/>
                <w:kern w:val="0"/>
                <w:sz w:val="26"/>
                <w:szCs w:val="26"/>
                <w:lang w:eastAsia="pl-PL"/>
                <w14:ligatures w14:val="none"/>
              </w:rPr>
              <w:br/>
              <w:t>g) danych dotyczących kontrahentów (producent, dostawca),</w:t>
            </w:r>
            <w:r w:rsidRPr="00B97E7A">
              <w:rPr>
                <w:rFonts w:ascii="Times New Roman" w:eastAsia="Times New Roman" w:hAnsi="Times New Roman" w:cs="Times New Roman"/>
                <w:kern w:val="0"/>
                <w:sz w:val="26"/>
                <w:szCs w:val="26"/>
                <w:lang w:eastAsia="pl-PL"/>
                <w14:ligatures w14:val="none"/>
              </w:rPr>
              <w:br/>
              <w:t>h) roku budowy,</w:t>
            </w:r>
            <w:r w:rsidRPr="00B97E7A">
              <w:rPr>
                <w:rFonts w:ascii="Times New Roman" w:eastAsia="Times New Roman" w:hAnsi="Times New Roman" w:cs="Times New Roman"/>
                <w:kern w:val="0"/>
                <w:sz w:val="26"/>
                <w:szCs w:val="26"/>
                <w:lang w:eastAsia="pl-PL"/>
                <w14:ligatures w14:val="none"/>
              </w:rPr>
              <w:br/>
              <w:t>i) charakterystyka środka trwałego,</w:t>
            </w:r>
            <w:r w:rsidRPr="00B97E7A">
              <w:rPr>
                <w:rFonts w:ascii="Times New Roman" w:eastAsia="Times New Roman" w:hAnsi="Times New Roman" w:cs="Times New Roman"/>
                <w:kern w:val="0"/>
                <w:sz w:val="26"/>
                <w:szCs w:val="26"/>
                <w:lang w:eastAsia="pl-PL"/>
                <w14:ligatures w14:val="none"/>
              </w:rPr>
              <w:br/>
              <w:t>j) danych osoby rejestrującej oraz danych osób dokonujących aktualizacji (imię, nazwisko, data),</w:t>
            </w:r>
            <w:r w:rsidRPr="00B97E7A">
              <w:rPr>
                <w:rFonts w:ascii="Times New Roman" w:eastAsia="Times New Roman" w:hAnsi="Times New Roman" w:cs="Times New Roman"/>
                <w:kern w:val="0"/>
                <w:sz w:val="26"/>
                <w:szCs w:val="26"/>
                <w:lang w:eastAsia="pl-PL"/>
                <w14:ligatures w14:val="none"/>
              </w:rPr>
              <w:br/>
              <w:t>k) osoby odpowiedzialna materialnie,</w:t>
            </w:r>
            <w:r w:rsidRPr="00B97E7A">
              <w:rPr>
                <w:rFonts w:ascii="Times New Roman" w:eastAsia="Times New Roman" w:hAnsi="Times New Roman" w:cs="Times New Roman"/>
                <w:kern w:val="0"/>
                <w:sz w:val="26"/>
                <w:szCs w:val="26"/>
                <w:lang w:eastAsia="pl-PL"/>
                <w14:ligatures w14:val="none"/>
              </w:rPr>
              <w:br/>
              <w:t>l) numeru fabrycznego,</w:t>
            </w:r>
            <w:r w:rsidRPr="00B97E7A">
              <w:rPr>
                <w:rFonts w:ascii="Times New Roman" w:eastAsia="Times New Roman" w:hAnsi="Times New Roman" w:cs="Times New Roman"/>
                <w:kern w:val="0"/>
                <w:sz w:val="26"/>
                <w:szCs w:val="26"/>
                <w:lang w:eastAsia="pl-PL"/>
                <w14:ligatures w14:val="none"/>
              </w:rPr>
              <w:br/>
              <w:t>m) źródeł finansowania,</w:t>
            </w:r>
            <w:r w:rsidRPr="00B97E7A">
              <w:rPr>
                <w:rFonts w:ascii="Times New Roman" w:eastAsia="Times New Roman" w:hAnsi="Times New Roman" w:cs="Times New Roman"/>
                <w:kern w:val="0"/>
                <w:sz w:val="26"/>
                <w:szCs w:val="26"/>
                <w:lang w:eastAsia="pl-PL"/>
                <w14:ligatures w14:val="none"/>
              </w:rPr>
              <w:br/>
              <w:t>n) oznaczenie dot. zakupów zagranicznych,</w:t>
            </w:r>
            <w:r w:rsidRPr="00B97E7A">
              <w:rPr>
                <w:rFonts w:ascii="Times New Roman" w:eastAsia="Times New Roman" w:hAnsi="Times New Roman" w:cs="Times New Roman"/>
                <w:kern w:val="0"/>
                <w:sz w:val="26"/>
                <w:szCs w:val="26"/>
                <w:lang w:eastAsia="pl-PL"/>
                <w14:ligatures w14:val="none"/>
              </w:rPr>
              <w:br/>
              <w:t>o) KŚT,</w:t>
            </w:r>
            <w:r w:rsidRPr="00B97E7A">
              <w:rPr>
                <w:rFonts w:ascii="Times New Roman" w:eastAsia="Times New Roman" w:hAnsi="Times New Roman" w:cs="Times New Roman"/>
                <w:kern w:val="0"/>
                <w:sz w:val="26"/>
                <w:szCs w:val="26"/>
                <w:lang w:eastAsia="pl-PL"/>
                <w14:ligatures w14:val="none"/>
              </w:rPr>
              <w:br/>
              <w:t>p) ilości,</w:t>
            </w:r>
            <w:r w:rsidRPr="00B97E7A">
              <w:rPr>
                <w:rFonts w:ascii="Times New Roman" w:eastAsia="Times New Roman" w:hAnsi="Times New Roman" w:cs="Times New Roman"/>
                <w:kern w:val="0"/>
                <w:sz w:val="26"/>
                <w:szCs w:val="26"/>
                <w:lang w:eastAsia="pl-PL"/>
                <w14:ligatures w14:val="none"/>
              </w:rPr>
              <w:br/>
              <w:t>q) stawki i metody amortyzacji,</w:t>
            </w:r>
            <w:r w:rsidRPr="00B97E7A">
              <w:rPr>
                <w:rFonts w:ascii="Times New Roman" w:eastAsia="Times New Roman" w:hAnsi="Times New Roman" w:cs="Times New Roman"/>
                <w:kern w:val="0"/>
                <w:sz w:val="26"/>
                <w:szCs w:val="26"/>
                <w:lang w:eastAsia="pl-PL"/>
                <w14:ligatures w14:val="none"/>
              </w:rPr>
              <w:br/>
              <w:t>r) konta i projektu kosztów,</w:t>
            </w:r>
            <w:r w:rsidRPr="00B97E7A">
              <w:rPr>
                <w:rFonts w:ascii="Times New Roman" w:eastAsia="Times New Roman" w:hAnsi="Times New Roman" w:cs="Times New Roman"/>
                <w:kern w:val="0"/>
                <w:sz w:val="26"/>
                <w:szCs w:val="26"/>
                <w:lang w:eastAsia="pl-PL"/>
                <w14:ligatures w14:val="none"/>
              </w:rPr>
              <w:br/>
              <w:t>s) daty przyjęcia, likwidacji, umorzenia, zmiany do podatku od nieruchomości,</w:t>
            </w:r>
            <w:r w:rsidRPr="00B97E7A">
              <w:rPr>
                <w:rFonts w:ascii="Times New Roman" w:eastAsia="Times New Roman" w:hAnsi="Times New Roman" w:cs="Times New Roman"/>
                <w:kern w:val="0"/>
                <w:sz w:val="26"/>
                <w:szCs w:val="26"/>
                <w:lang w:eastAsia="pl-PL"/>
                <w14:ligatures w14:val="none"/>
              </w:rPr>
              <w:br/>
              <w:t>t) lokalizacji,</w:t>
            </w:r>
            <w:r w:rsidRPr="00B97E7A">
              <w:rPr>
                <w:rFonts w:ascii="Times New Roman" w:eastAsia="Times New Roman" w:hAnsi="Times New Roman" w:cs="Times New Roman"/>
                <w:kern w:val="0"/>
                <w:sz w:val="26"/>
                <w:szCs w:val="26"/>
                <w:lang w:eastAsia="pl-PL"/>
                <w14:ligatures w14:val="none"/>
              </w:rPr>
              <w:br/>
              <w:t>u) stanu (czynny, w likwidacji, sprzedany).</w:t>
            </w:r>
          </w:p>
        </w:tc>
        <w:tc>
          <w:tcPr>
            <w:tcW w:w="850" w:type="dxa"/>
            <w:tcBorders>
              <w:top w:val="nil"/>
              <w:left w:val="nil"/>
              <w:bottom w:val="single" w:sz="8" w:space="0" w:color="auto"/>
              <w:right w:val="single" w:sz="8" w:space="0" w:color="auto"/>
            </w:tcBorders>
            <w:shd w:val="clear" w:color="auto" w:fill="auto"/>
            <w:vAlign w:val="center"/>
            <w:hideMark/>
          </w:tcPr>
          <w:p w14:paraId="7C54E15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D3B86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33E47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Definiowanie kategorii środków innych, niż grupy, podgrupy i rodzaje KŚT.</w:t>
            </w:r>
          </w:p>
        </w:tc>
        <w:tc>
          <w:tcPr>
            <w:tcW w:w="850" w:type="dxa"/>
            <w:tcBorders>
              <w:top w:val="nil"/>
              <w:left w:val="nil"/>
              <w:bottom w:val="single" w:sz="8" w:space="0" w:color="auto"/>
              <w:right w:val="single" w:sz="8" w:space="0" w:color="auto"/>
            </w:tcBorders>
            <w:shd w:val="clear" w:color="auto" w:fill="auto"/>
            <w:vAlign w:val="center"/>
            <w:hideMark/>
          </w:tcPr>
          <w:p w14:paraId="13D015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C5CC18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5699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Generowanie sprawozdań zgodnych z obowiązującymi przepisami np. F03 do GUS.</w:t>
            </w:r>
          </w:p>
        </w:tc>
        <w:tc>
          <w:tcPr>
            <w:tcW w:w="850" w:type="dxa"/>
            <w:tcBorders>
              <w:top w:val="nil"/>
              <w:left w:val="nil"/>
              <w:bottom w:val="single" w:sz="8" w:space="0" w:color="auto"/>
              <w:right w:val="single" w:sz="8" w:space="0" w:color="auto"/>
            </w:tcBorders>
            <w:shd w:val="clear" w:color="auto" w:fill="auto"/>
            <w:vAlign w:val="center"/>
            <w:hideMark/>
          </w:tcPr>
          <w:p w14:paraId="265D824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EB2141"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7A288C" w14:textId="2CFDF56A"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Możliwość importu składników majątku trwałego z zewnętrznego źródła (pliki tekstowe, arkusze Excel</w:t>
            </w:r>
            <w:r w:rsidR="008C3FFE">
              <w:rPr>
                <w:rFonts w:ascii="Times New Roman" w:eastAsia="Times New Roman" w:hAnsi="Times New Roman" w:cs="Times New Roman"/>
                <w:kern w:val="0"/>
                <w:sz w:val="28"/>
                <w:szCs w:val="28"/>
                <w:lang w:eastAsia="pl-PL"/>
                <w14:ligatures w14:val="none"/>
              </w:rPr>
              <w:t>, pliki XML</w:t>
            </w:r>
            <w:r w:rsidRPr="00B97E7A">
              <w:rPr>
                <w:rFonts w:ascii="Times New Roman" w:eastAsia="Times New Roman" w:hAnsi="Times New Roman" w:cs="Times New Roman"/>
                <w:kern w:val="0"/>
                <w:sz w:val="28"/>
                <w:szCs w:val="28"/>
                <w:lang w:eastAsia="pl-PL"/>
                <w14:ligatures w14:val="none"/>
              </w:rPr>
              <w:t>) z automatycznym nadawaniem numerów i przypisywaniem parametrów wg określonych wzorców oraz możliwością ręcznej korekty lub usunięcia wybranych pozycji przed zapisaniem ich (zatwierdzeniem) w bazie środków trwałych.</w:t>
            </w:r>
          </w:p>
        </w:tc>
        <w:tc>
          <w:tcPr>
            <w:tcW w:w="850" w:type="dxa"/>
            <w:tcBorders>
              <w:top w:val="nil"/>
              <w:left w:val="nil"/>
              <w:bottom w:val="single" w:sz="8" w:space="0" w:color="auto"/>
              <w:right w:val="single" w:sz="8" w:space="0" w:color="auto"/>
            </w:tcBorders>
            <w:shd w:val="clear" w:color="auto" w:fill="auto"/>
            <w:vAlign w:val="center"/>
            <w:hideMark/>
          </w:tcPr>
          <w:p w14:paraId="1272531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A72529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678A6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Wprowadzanie spisu z natury ręcznie lub automatycznie, na podstawie danych z czytnika kodów (3D) i rozliczanie spisu z natury, w tym raportowanie o brakach oraz nieujawnionych przemieszczeniach.</w:t>
            </w:r>
          </w:p>
        </w:tc>
        <w:tc>
          <w:tcPr>
            <w:tcW w:w="850" w:type="dxa"/>
            <w:tcBorders>
              <w:top w:val="nil"/>
              <w:left w:val="nil"/>
              <w:bottom w:val="single" w:sz="8" w:space="0" w:color="auto"/>
              <w:right w:val="single" w:sz="8" w:space="0" w:color="auto"/>
            </w:tcBorders>
            <w:shd w:val="clear" w:color="auto" w:fill="auto"/>
            <w:vAlign w:val="center"/>
            <w:hideMark/>
          </w:tcPr>
          <w:p w14:paraId="3035C9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968EE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D7C6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34. Wprowadzanie spisów częściowych, zawierających datę rozpoczęcia i zakończenia, opis oraz określenie składów Komisji Inwentaryzacyjnej: Przewodniczącego oraz członków.</w:t>
            </w:r>
          </w:p>
        </w:tc>
        <w:tc>
          <w:tcPr>
            <w:tcW w:w="850" w:type="dxa"/>
            <w:tcBorders>
              <w:top w:val="nil"/>
              <w:left w:val="nil"/>
              <w:bottom w:val="single" w:sz="8" w:space="0" w:color="auto"/>
              <w:right w:val="single" w:sz="8" w:space="0" w:color="auto"/>
            </w:tcBorders>
            <w:shd w:val="clear" w:color="auto" w:fill="auto"/>
            <w:vAlign w:val="center"/>
            <w:hideMark/>
          </w:tcPr>
          <w:p w14:paraId="26EE71F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24B877"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F632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35. Wprowadzanie parametrów rozliczenia spisów z natury z możliwością wyboru:</w:t>
            </w:r>
            <w:r w:rsidRPr="00B97E7A">
              <w:rPr>
                <w:rFonts w:ascii="Times New Roman" w:eastAsia="Times New Roman" w:hAnsi="Times New Roman" w:cs="Times New Roman"/>
                <w:kern w:val="0"/>
                <w:sz w:val="28"/>
                <w:szCs w:val="28"/>
                <w:lang w:eastAsia="pl-PL"/>
                <w14:ligatures w14:val="none"/>
              </w:rPr>
              <w:br/>
              <w:t>a) zakresu: pełnego, tylko niedoborów, tylko nadwyżek, tylko różnic,</w:t>
            </w:r>
            <w:r w:rsidRPr="00B97E7A">
              <w:rPr>
                <w:rFonts w:ascii="Times New Roman" w:eastAsia="Times New Roman" w:hAnsi="Times New Roman" w:cs="Times New Roman"/>
                <w:kern w:val="0"/>
                <w:sz w:val="28"/>
                <w:szCs w:val="28"/>
                <w:lang w:eastAsia="pl-PL"/>
                <w14:ligatures w14:val="none"/>
              </w:rPr>
              <w:br/>
              <w:t>b) sortowania według numeru inwentarzowego oraz rejestru i numeru inwentarzowego.</w:t>
            </w:r>
          </w:p>
        </w:tc>
        <w:tc>
          <w:tcPr>
            <w:tcW w:w="850" w:type="dxa"/>
            <w:tcBorders>
              <w:top w:val="nil"/>
              <w:left w:val="nil"/>
              <w:bottom w:val="single" w:sz="8" w:space="0" w:color="auto"/>
              <w:right w:val="single" w:sz="8" w:space="0" w:color="auto"/>
            </w:tcBorders>
            <w:shd w:val="clear" w:color="auto" w:fill="auto"/>
            <w:vAlign w:val="center"/>
            <w:hideMark/>
          </w:tcPr>
          <w:p w14:paraId="060AA33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2DE939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C5A9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Pokazanie wyników rozliczenia spisu z natury z możliwością wyboru: tylko ze spisu, działu, jednostki, położenia, elementów.</w:t>
            </w:r>
          </w:p>
        </w:tc>
        <w:tc>
          <w:tcPr>
            <w:tcW w:w="850" w:type="dxa"/>
            <w:tcBorders>
              <w:top w:val="nil"/>
              <w:left w:val="nil"/>
              <w:bottom w:val="single" w:sz="8" w:space="0" w:color="auto"/>
              <w:right w:val="single" w:sz="8" w:space="0" w:color="auto"/>
            </w:tcBorders>
            <w:shd w:val="clear" w:color="auto" w:fill="auto"/>
            <w:vAlign w:val="center"/>
            <w:hideMark/>
          </w:tcPr>
          <w:p w14:paraId="3208B39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BCDB48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D15C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Zautomatyzowane dokonywanie w systemie przemieszczeń sprzętu pomiędzy pomieszczeniami, na podstawie danych zgromadzonych w czytniku laserowym.</w:t>
            </w:r>
          </w:p>
        </w:tc>
        <w:tc>
          <w:tcPr>
            <w:tcW w:w="850" w:type="dxa"/>
            <w:tcBorders>
              <w:top w:val="nil"/>
              <w:left w:val="nil"/>
              <w:bottom w:val="single" w:sz="8" w:space="0" w:color="auto"/>
              <w:right w:val="single" w:sz="8" w:space="0" w:color="auto"/>
            </w:tcBorders>
            <w:shd w:val="clear" w:color="auto" w:fill="auto"/>
            <w:vAlign w:val="center"/>
            <w:hideMark/>
          </w:tcPr>
          <w:p w14:paraId="1DD3A7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EC7B79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93E0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Możliwość drukowania kodów graficznych (QR) do znakowania środków trwałych, powtórne wydrukowanie kodu zostaje odnotowane w logach systemu.</w:t>
            </w:r>
          </w:p>
        </w:tc>
        <w:tc>
          <w:tcPr>
            <w:tcW w:w="850" w:type="dxa"/>
            <w:tcBorders>
              <w:top w:val="nil"/>
              <w:left w:val="nil"/>
              <w:bottom w:val="single" w:sz="8" w:space="0" w:color="auto"/>
              <w:right w:val="single" w:sz="8" w:space="0" w:color="auto"/>
            </w:tcBorders>
            <w:shd w:val="clear" w:color="auto" w:fill="auto"/>
            <w:vAlign w:val="center"/>
            <w:hideMark/>
          </w:tcPr>
          <w:p w14:paraId="2D0D35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96B8E7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DC0F7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39. Rejestrowanie związków między wartościami niematerialnymi i prawnymi, a środkami trwałymi (np. dla programów komputerowych wskazanie komputerów, na których oprogramowanie jest zainstalowane).</w:t>
            </w:r>
          </w:p>
        </w:tc>
        <w:tc>
          <w:tcPr>
            <w:tcW w:w="850" w:type="dxa"/>
            <w:tcBorders>
              <w:top w:val="nil"/>
              <w:left w:val="nil"/>
              <w:bottom w:val="single" w:sz="8" w:space="0" w:color="auto"/>
              <w:right w:val="single" w:sz="8" w:space="0" w:color="auto"/>
            </w:tcBorders>
            <w:shd w:val="clear" w:color="auto" w:fill="auto"/>
            <w:vAlign w:val="center"/>
            <w:hideMark/>
          </w:tcPr>
          <w:p w14:paraId="5B4B78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52B25DC" w14:textId="77777777" w:rsidTr="00B97E7A">
        <w:trPr>
          <w:trHeight w:val="4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4642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40. Wyszukiwanie, sortowanie, filtrowanie oraz tworzenie i drukowanie zestawień w oparciu o dowolnie zadane kryteria dla danych wprowadzonych do modułu oprogramowania użytkowego, ze szczególnym uwzględnieniem możliwości wyodrębnienia i wydrukowania:</w:t>
            </w:r>
            <w:r w:rsidRPr="00B97E7A">
              <w:rPr>
                <w:rFonts w:ascii="Times New Roman" w:eastAsia="Times New Roman" w:hAnsi="Times New Roman" w:cs="Times New Roman"/>
                <w:kern w:val="0"/>
                <w:sz w:val="28"/>
                <w:szCs w:val="28"/>
                <w:lang w:eastAsia="pl-PL"/>
                <w14:ligatures w14:val="none"/>
              </w:rPr>
              <w:br/>
              <w:t>a) wykazu sprzętu w danym pomieszczeniu (budynku, grupie pomieszczeń) z bieżącą wartością sprzętu na dzień bieżący,</w:t>
            </w:r>
            <w:r w:rsidRPr="00B97E7A">
              <w:rPr>
                <w:rFonts w:ascii="Times New Roman" w:eastAsia="Times New Roman" w:hAnsi="Times New Roman" w:cs="Times New Roman"/>
                <w:kern w:val="0"/>
                <w:sz w:val="28"/>
                <w:szCs w:val="28"/>
                <w:lang w:eastAsia="pl-PL"/>
                <w14:ligatures w14:val="none"/>
              </w:rPr>
              <w:br/>
              <w:t>b) wpisu w ewidencji dotyczącego środka trwałego (karty środka) i raportu historii środka trwałego,</w:t>
            </w:r>
            <w:r w:rsidRPr="00B97E7A">
              <w:rPr>
                <w:rFonts w:ascii="Times New Roman" w:eastAsia="Times New Roman" w:hAnsi="Times New Roman" w:cs="Times New Roman"/>
                <w:kern w:val="0"/>
                <w:sz w:val="28"/>
                <w:szCs w:val="28"/>
                <w:lang w:eastAsia="pl-PL"/>
                <w14:ligatures w14:val="none"/>
              </w:rPr>
              <w:br/>
              <w:t>c) wykazów wg klasyfikacji rodzajowej środków trwałych, numerów inwentarzowych, nazwy środka, przypisania do określonego pomieszczenia lub komórki organizacyjnej, danych z czytnika (kolektora) z uwzględnieniem braków w danym pokoju.</w:t>
            </w:r>
          </w:p>
        </w:tc>
        <w:tc>
          <w:tcPr>
            <w:tcW w:w="850" w:type="dxa"/>
            <w:tcBorders>
              <w:top w:val="nil"/>
              <w:left w:val="nil"/>
              <w:bottom w:val="single" w:sz="8" w:space="0" w:color="auto"/>
              <w:right w:val="single" w:sz="8" w:space="0" w:color="auto"/>
            </w:tcBorders>
            <w:shd w:val="clear" w:color="auto" w:fill="auto"/>
            <w:vAlign w:val="center"/>
            <w:hideMark/>
          </w:tcPr>
          <w:p w14:paraId="5873FF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314D5C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5856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Automatyczne przeszacowanie wartości składników majątku trwałego.</w:t>
            </w:r>
          </w:p>
        </w:tc>
        <w:tc>
          <w:tcPr>
            <w:tcW w:w="850" w:type="dxa"/>
            <w:tcBorders>
              <w:top w:val="nil"/>
              <w:left w:val="nil"/>
              <w:bottom w:val="single" w:sz="8" w:space="0" w:color="auto"/>
              <w:right w:val="single" w:sz="8" w:space="0" w:color="auto"/>
            </w:tcBorders>
            <w:shd w:val="clear" w:color="auto" w:fill="auto"/>
            <w:vAlign w:val="center"/>
            <w:hideMark/>
          </w:tcPr>
          <w:p w14:paraId="3F02A2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B85540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59A13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Tworzenie planu amortyzacji.</w:t>
            </w:r>
          </w:p>
        </w:tc>
        <w:tc>
          <w:tcPr>
            <w:tcW w:w="850" w:type="dxa"/>
            <w:tcBorders>
              <w:top w:val="nil"/>
              <w:left w:val="nil"/>
              <w:bottom w:val="single" w:sz="8" w:space="0" w:color="auto"/>
              <w:right w:val="single" w:sz="8" w:space="0" w:color="auto"/>
            </w:tcBorders>
            <w:shd w:val="clear" w:color="auto" w:fill="auto"/>
            <w:vAlign w:val="center"/>
            <w:hideMark/>
          </w:tcPr>
          <w:p w14:paraId="568B5D4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F42BC3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F4E9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współpracy modułu oprogramowania użytkowego z:</w:t>
            </w:r>
          </w:p>
        </w:tc>
        <w:tc>
          <w:tcPr>
            <w:tcW w:w="850" w:type="dxa"/>
            <w:tcBorders>
              <w:top w:val="nil"/>
              <w:left w:val="nil"/>
              <w:bottom w:val="single" w:sz="8" w:space="0" w:color="auto"/>
              <w:right w:val="single" w:sz="8" w:space="0" w:color="auto"/>
            </w:tcBorders>
            <w:shd w:val="clear" w:color="000000" w:fill="A6A6A6"/>
            <w:vAlign w:val="center"/>
            <w:hideMark/>
          </w:tcPr>
          <w:p w14:paraId="42A642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709F9C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3B12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43.1. czytnikiem laserowym kodów QR (w tym przekazanie kodów i nazw środków trwałych, wartości niematerialnych i prawnych oraz pozostałych środków z modułu oprogramowania użytkowego do czytnika),</w:t>
            </w:r>
          </w:p>
        </w:tc>
        <w:tc>
          <w:tcPr>
            <w:tcW w:w="850" w:type="dxa"/>
            <w:tcBorders>
              <w:top w:val="nil"/>
              <w:left w:val="nil"/>
              <w:bottom w:val="single" w:sz="8" w:space="0" w:color="auto"/>
              <w:right w:val="single" w:sz="8" w:space="0" w:color="auto"/>
            </w:tcBorders>
            <w:shd w:val="clear" w:color="auto" w:fill="auto"/>
            <w:vAlign w:val="center"/>
            <w:hideMark/>
          </w:tcPr>
          <w:p w14:paraId="7B340DF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5998DE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C12B9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43.2. drukarką kodów QR.</w:t>
            </w:r>
          </w:p>
        </w:tc>
        <w:tc>
          <w:tcPr>
            <w:tcW w:w="850" w:type="dxa"/>
            <w:tcBorders>
              <w:top w:val="nil"/>
              <w:left w:val="nil"/>
              <w:bottom w:val="single" w:sz="8" w:space="0" w:color="auto"/>
              <w:right w:val="single" w:sz="8" w:space="0" w:color="auto"/>
            </w:tcBorders>
            <w:shd w:val="clear" w:color="auto" w:fill="auto"/>
            <w:vAlign w:val="center"/>
            <w:hideMark/>
          </w:tcPr>
          <w:p w14:paraId="31B19B2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5BD994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E6420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44. Eksport dowolnych danych ze zdefiniowanych wstępnie lub zdefiniowanych przez użytkownika raportów/zestawień do innych aplikacji (np. MS Excel).</w:t>
            </w:r>
          </w:p>
        </w:tc>
        <w:tc>
          <w:tcPr>
            <w:tcW w:w="850" w:type="dxa"/>
            <w:tcBorders>
              <w:top w:val="nil"/>
              <w:left w:val="nil"/>
              <w:bottom w:val="single" w:sz="8" w:space="0" w:color="auto"/>
              <w:right w:val="single" w:sz="8" w:space="0" w:color="auto"/>
            </w:tcBorders>
            <w:shd w:val="clear" w:color="auto" w:fill="auto"/>
            <w:vAlign w:val="center"/>
            <w:hideMark/>
          </w:tcPr>
          <w:p w14:paraId="1280796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D84246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AD98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45. Tworzenie wydruków poprzez wybrane przez użytkownika funkcje </w:t>
            </w:r>
            <w:proofErr w:type="spellStart"/>
            <w:r w:rsidRPr="00B97E7A">
              <w:rPr>
                <w:rFonts w:ascii="Times New Roman" w:eastAsia="Times New Roman" w:hAnsi="Times New Roman" w:cs="Times New Roman"/>
                <w:kern w:val="0"/>
                <w:sz w:val="28"/>
                <w:szCs w:val="28"/>
                <w:lang w:eastAsia="pl-PL"/>
                <w14:ligatures w14:val="none"/>
              </w:rPr>
              <w:t>parametryzacyjne</w:t>
            </w:r>
            <w:proofErr w:type="spellEnd"/>
            <w:r w:rsidRPr="00B97E7A">
              <w:rPr>
                <w:rFonts w:ascii="Times New Roman" w:eastAsia="Times New Roman" w:hAnsi="Times New Roman" w:cs="Times New Roman"/>
                <w:kern w:val="0"/>
                <w:sz w:val="28"/>
                <w:szCs w:val="28"/>
                <w:lang w:eastAsia="pl-PL"/>
                <w14:ligatures w14:val="none"/>
              </w:rPr>
              <w:t xml:space="preserve"> w oprogramowaniu użytkowym z uwzględnieniem generowania przez moduł F-K formularza potwierdzenia użyczonych składników majątkowych.</w:t>
            </w:r>
          </w:p>
        </w:tc>
        <w:tc>
          <w:tcPr>
            <w:tcW w:w="850" w:type="dxa"/>
            <w:tcBorders>
              <w:top w:val="nil"/>
              <w:left w:val="nil"/>
              <w:bottom w:val="single" w:sz="8" w:space="0" w:color="auto"/>
              <w:right w:val="single" w:sz="8" w:space="0" w:color="auto"/>
            </w:tcBorders>
            <w:shd w:val="clear" w:color="auto" w:fill="auto"/>
            <w:vAlign w:val="center"/>
            <w:hideMark/>
          </w:tcPr>
          <w:p w14:paraId="5FBD55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DCCC872"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1752E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46. Tworzenie, generowanie i drukowanie zestawień i sprawozdań na wybrany dzień / za wskazany okres, na podstawie zdefiniowanych wzorów zestawień i sprawozdań środków trwałych, np. zestawień ilościowych, ilościowo-wartościowych, zestawień dokumentów, zestawień zmian; z możliwością eksportowania zestawień w formacie xls.</w:t>
            </w:r>
          </w:p>
        </w:tc>
        <w:tc>
          <w:tcPr>
            <w:tcW w:w="850" w:type="dxa"/>
            <w:tcBorders>
              <w:top w:val="nil"/>
              <w:left w:val="nil"/>
              <w:bottom w:val="single" w:sz="8" w:space="0" w:color="auto"/>
              <w:right w:val="single" w:sz="8" w:space="0" w:color="auto"/>
            </w:tcBorders>
            <w:shd w:val="clear" w:color="auto" w:fill="auto"/>
            <w:vAlign w:val="center"/>
            <w:hideMark/>
          </w:tcPr>
          <w:p w14:paraId="177490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56D34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32A8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47. Możliwość ewidencjonowania wielu źródeł finansowania w jednym środku trwałym z amortyzacją podatkową i rachunkową liczoną dla każdego źródła; możliwość obliczenia amortyzacji rachunkowej za miesiąc wstecz.</w:t>
            </w:r>
          </w:p>
        </w:tc>
        <w:tc>
          <w:tcPr>
            <w:tcW w:w="850" w:type="dxa"/>
            <w:tcBorders>
              <w:top w:val="nil"/>
              <w:left w:val="nil"/>
              <w:bottom w:val="single" w:sz="8" w:space="0" w:color="auto"/>
              <w:right w:val="single" w:sz="8" w:space="0" w:color="auto"/>
            </w:tcBorders>
            <w:shd w:val="clear" w:color="auto" w:fill="auto"/>
            <w:vAlign w:val="center"/>
            <w:hideMark/>
          </w:tcPr>
          <w:p w14:paraId="06654D6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91FA7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F48F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48. Kartoteka podatkowa i rachunkowa dla środków trwałych.</w:t>
            </w:r>
          </w:p>
        </w:tc>
        <w:tc>
          <w:tcPr>
            <w:tcW w:w="850" w:type="dxa"/>
            <w:tcBorders>
              <w:top w:val="nil"/>
              <w:left w:val="nil"/>
              <w:bottom w:val="single" w:sz="8" w:space="0" w:color="auto"/>
              <w:right w:val="single" w:sz="8" w:space="0" w:color="auto"/>
            </w:tcBorders>
            <w:shd w:val="clear" w:color="auto" w:fill="auto"/>
            <w:vAlign w:val="center"/>
            <w:hideMark/>
          </w:tcPr>
          <w:p w14:paraId="3925B4B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910332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426CF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49. Możliwość agregacji i </w:t>
            </w:r>
            <w:proofErr w:type="spellStart"/>
            <w:r w:rsidRPr="00B97E7A">
              <w:rPr>
                <w:rFonts w:ascii="Times New Roman" w:eastAsia="Times New Roman" w:hAnsi="Times New Roman" w:cs="Times New Roman"/>
                <w:kern w:val="0"/>
                <w:sz w:val="28"/>
                <w:szCs w:val="28"/>
                <w:lang w:eastAsia="pl-PL"/>
                <w14:ligatures w14:val="none"/>
              </w:rPr>
              <w:t>deagregacji</w:t>
            </w:r>
            <w:proofErr w:type="spellEnd"/>
            <w:r w:rsidRPr="00B97E7A">
              <w:rPr>
                <w:rFonts w:ascii="Times New Roman" w:eastAsia="Times New Roman" w:hAnsi="Times New Roman" w:cs="Times New Roman"/>
                <w:kern w:val="0"/>
                <w:sz w:val="28"/>
                <w:szCs w:val="28"/>
                <w:lang w:eastAsia="pl-PL"/>
                <w14:ligatures w14:val="none"/>
              </w:rPr>
              <w:t xml:space="preserve"> środków trwałych.</w:t>
            </w:r>
          </w:p>
        </w:tc>
        <w:tc>
          <w:tcPr>
            <w:tcW w:w="850" w:type="dxa"/>
            <w:tcBorders>
              <w:top w:val="nil"/>
              <w:left w:val="nil"/>
              <w:bottom w:val="single" w:sz="8" w:space="0" w:color="auto"/>
              <w:right w:val="single" w:sz="8" w:space="0" w:color="auto"/>
            </w:tcBorders>
            <w:shd w:val="clear" w:color="auto" w:fill="auto"/>
            <w:vAlign w:val="center"/>
            <w:hideMark/>
          </w:tcPr>
          <w:p w14:paraId="645C03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E85771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88448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50. Osoby materialnie odpowiedzialne z uprawnieniami do określonych komórek organizacyjnych.</w:t>
            </w:r>
          </w:p>
        </w:tc>
        <w:tc>
          <w:tcPr>
            <w:tcW w:w="850" w:type="dxa"/>
            <w:tcBorders>
              <w:top w:val="nil"/>
              <w:left w:val="nil"/>
              <w:bottom w:val="single" w:sz="8" w:space="0" w:color="auto"/>
              <w:right w:val="single" w:sz="8" w:space="0" w:color="auto"/>
            </w:tcBorders>
            <w:shd w:val="clear" w:color="auto" w:fill="auto"/>
            <w:vAlign w:val="center"/>
            <w:hideMark/>
          </w:tcPr>
          <w:p w14:paraId="2FB8C5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D63BD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375C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Możliwość rozliczania podatku od nieruchomości z uwzględnieniem różnych lokalizacji (gmin).</w:t>
            </w:r>
          </w:p>
        </w:tc>
        <w:tc>
          <w:tcPr>
            <w:tcW w:w="850" w:type="dxa"/>
            <w:tcBorders>
              <w:top w:val="nil"/>
              <w:left w:val="nil"/>
              <w:bottom w:val="single" w:sz="8" w:space="0" w:color="auto"/>
              <w:right w:val="single" w:sz="8" w:space="0" w:color="auto"/>
            </w:tcBorders>
            <w:shd w:val="clear" w:color="auto" w:fill="auto"/>
            <w:vAlign w:val="center"/>
            <w:hideMark/>
          </w:tcPr>
          <w:p w14:paraId="03E50A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5DE8E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C2E0D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Możliwość dostępu do rozdziału obliczonej amortyzacji miesięcznej i za dowolny okres na konta kosztów w układzie kalkulacyjnym (również w celu dokonywania symulacji).</w:t>
            </w:r>
          </w:p>
        </w:tc>
        <w:tc>
          <w:tcPr>
            <w:tcW w:w="850" w:type="dxa"/>
            <w:tcBorders>
              <w:top w:val="nil"/>
              <w:left w:val="nil"/>
              <w:bottom w:val="single" w:sz="8" w:space="0" w:color="auto"/>
              <w:right w:val="single" w:sz="8" w:space="0" w:color="auto"/>
            </w:tcBorders>
            <w:shd w:val="clear" w:color="auto" w:fill="auto"/>
            <w:vAlign w:val="center"/>
            <w:hideMark/>
          </w:tcPr>
          <w:p w14:paraId="3438F00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2E9954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BDD3D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Możliwość dostępu do utworzonych planów amortyzacji w różnych przekrojach (miesięcznie, rocznie, na wiele lat).</w:t>
            </w:r>
          </w:p>
        </w:tc>
        <w:tc>
          <w:tcPr>
            <w:tcW w:w="850" w:type="dxa"/>
            <w:tcBorders>
              <w:top w:val="nil"/>
              <w:left w:val="nil"/>
              <w:bottom w:val="single" w:sz="8" w:space="0" w:color="auto"/>
              <w:right w:val="single" w:sz="8" w:space="0" w:color="auto"/>
            </w:tcBorders>
            <w:shd w:val="clear" w:color="auto" w:fill="auto"/>
            <w:vAlign w:val="center"/>
            <w:hideMark/>
          </w:tcPr>
          <w:p w14:paraId="6575CA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CBE9B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1105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54. Możliwość ustalenia wartości nowego majątku i przyszłej amortyzacji na podstawie planów inwestycyjnych dla poszczególnych działalności i MPK.</w:t>
            </w:r>
          </w:p>
        </w:tc>
        <w:tc>
          <w:tcPr>
            <w:tcW w:w="850" w:type="dxa"/>
            <w:tcBorders>
              <w:top w:val="nil"/>
              <w:left w:val="nil"/>
              <w:bottom w:val="single" w:sz="8" w:space="0" w:color="auto"/>
              <w:right w:val="single" w:sz="8" w:space="0" w:color="auto"/>
            </w:tcBorders>
            <w:shd w:val="clear" w:color="auto" w:fill="auto"/>
            <w:vAlign w:val="center"/>
            <w:hideMark/>
          </w:tcPr>
          <w:p w14:paraId="56100CE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D5B9C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D1C54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55. Możliwość wydzielenia poszczególnych składników amortyzacji ogólnej, tzn. amortyzacji środków trwałych, wyposażenia, nieodpłatnie przekazywanych (np. z Urzędu Miasta), wartości niematerialnych i prawnych.</w:t>
            </w:r>
          </w:p>
        </w:tc>
        <w:tc>
          <w:tcPr>
            <w:tcW w:w="850" w:type="dxa"/>
            <w:tcBorders>
              <w:top w:val="nil"/>
              <w:left w:val="nil"/>
              <w:bottom w:val="single" w:sz="8" w:space="0" w:color="auto"/>
              <w:right w:val="single" w:sz="8" w:space="0" w:color="auto"/>
            </w:tcBorders>
            <w:shd w:val="clear" w:color="auto" w:fill="auto"/>
            <w:vAlign w:val="center"/>
            <w:hideMark/>
          </w:tcPr>
          <w:p w14:paraId="2F893C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65243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45BD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56. Podział amortyzacji i majątku ze względu na źródła finansowania, w tym finansowanych ze środków Unii Europejskiej).</w:t>
            </w:r>
          </w:p>
        </w:tc>
        <w:tc>
          <w:tcPr>
            <w:tcW w:w="850" w:type="dxa"/>
            <w:tcBorders>
              <w:top w:val="nil"/>
              <w:left w:val="nil"/>
              <w:bottom w:val="single" w:sz="8" w:space="0" w:color="auto"/>
              <w:right w:val="single" w:sz="8" w:space="0" w:color="auto"/>
            </w:tcBorders>
            <w:shd w:val="clear" w:color="auto" w:fill="auto"/>
            <w:vAlign w:val="center"/>
            <w:hideMark/>
          </w:tcPr>
          <w:p w14:paraId="16780B3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C6F1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F254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57. Wyliczanie średniej stawki amortyzacyjnej w zdefiniowanej grupie środków.</w:t>
            </w:r>
          </w:p>
        </w:tc>
        <w:tc>
          <w:tcPr>
            <w:tcW w:w="850" w:type="dxa"/>
            <w:tcBorders>
              <w:top w:val="nil"/>
              <w:left w:val="nil"/>
              <w:bottom w:val="single" w:sz="8" w:space="0" w:color="auto"/>
              <w:right w:val="single" w:sz="8" w:space="0" w:color="auto"/>
            </w:tcBorders>
            <w:shd w:val="clear" w:color="auto" w:fill="auto"/>
            <w:vAlign w:val="center"/>
            <w:hideMark/>
          </w:tcPr>
          <w:p w14:paraId="27ABA4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3F12EC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332A3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58. Ustalanie wartości majątku, umorzenia, amortyzacji dla poszczególnych działalności i miejsc użytkowania, oraz jego dekapitalizacji w grupach: wartości inwentarzowe, umorzenie, wartość netto.</w:t>
            </w:r>
          </w:p>
        </w:tc>
        <w:tc>
          <w:tcPr>
            <w:tcW w:w="850" w:type="dxa"/>
            <w:tcBorders>
              <w:top w:val="nil"/>
              <w:left w:val="nil"/>
              <w:bottom w:val="single" w:sz="8" w:space="0" w:color="auto"/>
              <w:right w:val="single" w:sz="8" w:space="0" w:color="auto"/>
            </w:tcBorders>
            <w:shd w:val="clear" w:color="auto" w:fill="auto"/>
            <w:vAlign w:val="center"/>
            <w:hideMark/>
          </w:tcPr>
          <w:p w14:paraId="12E706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F09ED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9C26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59. Możliwość nadawania uprawnień do wybranych lokalizacji oraz osób odpowiedzialnych materialnie.</w:t>
            </w:r>
          </w:p>
        </w:tc>
        <w:tc>
          <w:tcPr>
            <w:tcW w:w="850" w:type="dxa"/>
            <w:tcBorders>
              <w:top w:val="nil"/>
              <w:left w:val="nil"/>
              <w:bottom w:val="single" w:sz="8" w:space="0" w:color="auto"/>
              <w:right w:val="single" w:sz="8" w:space="0" w:color="auto"/>
            </w:tcBorders>
            <w:shd w:val="clear" w:color="auto" w:fill="auto"/>
            <w:vAlign w:val="center"/>
            <w:hideMark/>
          </w:tcPr>
          <w:p w14:paraId="7F77AB3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D1A10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09B4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60. Możliwość zdefiniowania własnych parametrów dla środków trwałych.</w:t>
            </w:r>
          </w:p>
        </w:tc>
        <w:tc>
          <w:tcPr>
            <w:tcW w:w="850" w:type="dxa"/>
            <w:tcBorders>
              <w:top w:val="nil"/>
              <w:left w:val="nil"/>
              <w:bottom w:val="single" w:sz="8" w:space="0" w:color="auto"/>
              <w:right w:val="single" w:sz="8" w:space="0" w:color="auto"/>
            </w:tcBorders>
            <w:shd w:val="clear" w:color="auto" w:fill="auto"/>
            <w:vAlign w:val="center"/>
            <w:hideMark/>
          </w:tcPr>
          <w:p w14:paraId="5D5FA1D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D51C0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1B928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61. Możliwość określenia parametrów wymaganych oraz opcjonalnych dla środka trwałego na podstawie przypisanej do niego KŚT.</w:t>
            </w:r>
          </w:p>
        </w:tc>
        <w:tc>
          <w:tcPr>
            <w:tcW w:w="850" w:type="dxa"/>
            <w:tcBorders>
              <w:top w:val="nil"/>
              <w:left w:val="nil"/>
              <w:bottom w:val="single" w:sz="8" w:space="0" w:color="auto"/>
              <w:right w:val="single" w:sz="8" w:space="0" w:color="auto"/>
            </w:tcBorders>
            <w:shd w:val="clear" w:color="auto" w:fill="auto"/>
            <w:vAlign w:val="center"/>
            <w:hideMark/>
          </w:tcPr>
          <w:p w14:paraId="05D086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9152E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A1CC0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62. Ujednolicenie słownika obiektów w module „Majątek” z innymi modułami.</w:t>
            </w:r>
          </w:p>
        </w:tc>
        <w:tc>
          <w:tcPr>
            <w:tcW w:w="850" w:type="dxa"/>
            <w:tcBorders>
              <w:top w:val="nil"/>
              <w:left w:val="nil"/>
              <w:bottom w:val="single" w:sz="8" w:space="0" w:color="auto"/>
              <w:right w:val="single" w:sz="8" w:space="0" w:color="auto"/>
            </w:tcBorders>
            <w:shd w:val="clear" w:color="auto" w:fill="auto"/>
            <w:vAlign w:val="center"/>
            <w:hideMark/>
          </w:tcPr>
          <w:p w14:paraId="3F1E0AC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F7753A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257D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 Wyszukiwanie środków trwałych (z modułu Środki Trwałe):</w:t>
            </w:r>
          </w:p>
        </w:tc>
        <w:tc>
          <w:tcPr>
            <w:tcW w:w="850" w:type="dxa"/>
            <w:tcBorders>
              <w:top w:val="nil"/>
              <w:left w:val="nil"/>
              <w:bottom w:val="single" w:sz="8" w:space="0" w:color="auto"/>
              <w:right w:val="single" w:sz="8" w:space="0" w:color="auto"/>
            </w:tcBorders>
            <w:shd w:val="clear" w:color="000000" w:fill="A6A6A6"/>
            <w:vAlign w:val="center"/>
            <w:hideMark/>
          </w:tcPr>
          <w:p w14:paraId="415E73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66611D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D0465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63.1. Z największą wartością w grupie,</w:t>
            </w:r>
          </w:p>
        </w:tc>
        <w:tc>
          <w:tcPr>
            <w:tcW w:w="850" w:type="dxa"/>
            <w:tcBorders>
              <w:top w:val="nil"/>
              <w:left w:val="nil"/>
              <w:bottom w:val="single" w:sz="8" w:space="0" w:color="auto"/>
              <w:right w:val="single" w:sz="8" w:space="0" w:color="auto"/>
            </w:tcBorders>
            <w:shd w:val="clear" w:color="auto" w:fill="auto"/>
            <w:vAlign w:val="center"/>
            <w:hideMark/>
          </w:tcPr>
          <w:p w14:paraId="742765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2838057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C646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63.2. Według m-ca i roku przyjęcia do eksploatacji - wg zakresu czasowego wprowadzenia do ewidencji, rejestr zmian,</w:t>
            </w:r>
          </w:p>
        </w:tc>
        <w:tc>
          <w:tcPr>
            <w:tcW w:w="850" w:type="dxa"/>
            <w:tcBorders>
              <w:top w:val="nil"/>
              <w:left w:val="nil"/>
              <w:bottom w:val="single" w:sz="8" w:space="0" w:color="auto"/>
              <w:right w:val="single" w:sz="8" w:space="0" w:color="auto"/>
            </w:tcBorders>
            <w:shd w:val="clear" w:color="auto" w:fill="auto"/>
            <w:vAlign w:val="center"/>
            <w:hideMark/>
          </w:tcPr>
          <w:p w14:paraId="358AC8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9EC4D4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35A5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63.3. Według nazwy środka z wykazem ilościowym,</w:t>
            </w:r>
          </w:p>
        </w:tc>
        <w:tc>
          <w:tcPr>
            <w:tcW w:w="850" w:type="dxa"/>
            <w:tcBorders>
              <w:top w:val="nil"/>
              <w:left w:val="nil"/>
              <w:bottom w:val="single" w:sz="8" w:space="0" w:color="auto"/>
              <w:right w:val="single" w:sz="8" w:space="0" w:color="auto"/>
            </w:tcBorders>
            <w:shd w:val="clear" w:color="auto" w:fill="auto"/>
            <w:vAlign w:val="center"/>
            <w:hideMark/>
          </w:tcPr>
          <w:p w14:paraId="0D2C5C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49D0F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5DCD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63.4. Według miejsca użytkowania,</w:t>
            </w:r>
          </w:p>
        </w:tc>
        <w:tc>
          <w:tcPr>
            <w:tcW w:w="850" w:type="dxa"/>
            <w:tcBorders>
              <w:top w:val="nil"/>
              <w:left w:val="nil"/>
              <w:bottom w:val="single" w:sz="8" w:space="0" w:color="auto"/>
              <w:right w:val="single" w:sz="8" w:space="0" w:color="auto"/>
            </w:tcBorders>
            <w:shd w:val="clear" w:color="auto" w:fill="auto"/>
            <w:vAlign w:val="center"/>
            <w:hideMark/>
          </w:tcPr>
          <w:p w14:paraId="1EA9205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A3699E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E272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63.5. Według źródeł finansowania majątku,</w:t>
            </w:r>
          </w:p>
        </w:tc>
        <w:tc>
          <w:tcPr>
            <w:tcW w:w="850" w:type="dxa"/>
            <w:tcBorders>
              <w:top w:val="nil"/>
              <w:left w:val="nil"/>
              <w:bottom w:val="single" w:sz="8" w:space="0" w:color="auto"/>
              <w:right w:val="single" w:sz="8" w:space="0" w:color="auto"/>
            </w:tcBorders>
            <w:shd w:val="clear" w:color="auto" w:fill="auto"/>
            <w:vAlign w:val="center"/>
            <w:hideMark/>
          </w:tcPr>
          <w:p w14:paraId="2D41A3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58DEA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BBB6B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63.6. Tworzenie dowolnych zestawień wg różnych kryteriów wartościowych i tekstowych, np. wg wartości, powierzchni użytkowej, długości sieci w km itp.,</w:t>
            </w:r>
          </w:p>
        </w:tc>
        <w:tc>
          <w:tcPr>
            <w:tcW w:w="850" w:type="dxa"/>
            <w:tcBorders>
              <w:top w:val="nil"/>
              <w:left w:val="nil"/>
              <w:bottom w:val="single" w:sz="8" w:space="0" w:color="auto"/>
              <w:right w:val="single" w:sz="8" w:space="0" w:color="auto"/>
            </w:tcBorders>
            <w:shd w:val="clear" w:color="auto" w:fill="auto"/>
            <w:vAlign w:val="center"/>
            <w:hideMark/>
          </w:tcPr>
          <w:p w14:paraId="501F3C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6DE5F1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62FC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63.7.   Zachowanie historii ŚT.</w:t>
            </w:r>
          </w:p>
        </w:tc>
        <w:tc>
          <w:tcPr>
            <w:tcW w:w="850" w:type="dxa"/>
            <w:tcBorders>
              <w:top w:val="nil"/>
              <w:left w:val="nil"/>
              <w:bottom w:val="single" w:sz="8" w:space="0" w:color="auto"/>
              <w:right w:val="single" w:sz="8" w:space="0" w:color="auto"/>
            </w:tcBorders>
            <w:shd w:val="clear" w:color="auto" w:fill="auto"/>
            <w:vAlign w:val="center"/>
            <w:hideMark/>
          </w:tcPr>
          <w:p w14:paraId="0D75AF9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2A8CC4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F1EAE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MAJĄTEK TRWAŁY - PASZPORTYZACJA</w:t>
            </w:r>
          </w:p>
        </w:tc>
        <w:tc>
          <w:tcPr>
            <w:tcW w:w="850" w:type="dxa"/>
            <w:tcBorders>
              <w:top w:val="nil"/>
              <w:left w:val="nil"/>
              <w:bottom w:val="single" w:sz="8" w:space="0" w:color="auto"/>
              <w:right w:val="single" w:sz="8" w:space="0" w:color="auto"/>
            </w:tcBorders>
            <w:shd w:val="clear" w:color="000000" w:fill="A6A6A6"/>
            <w:vAlign w:val="center"/>
            <w:hideMark/>
          </w:tcPr>
          <w:p w14:paraId="1ACCEC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A24265E"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B1BD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System musi gwarantować możliwość dwukierunkowej wymiany danych, dotyczących określonych grup środków trwałych z systemem GIS. Dotyczy to w szczególności:</w:t>
            </w:r>
            <w:r w:rsidRPr="00B97E7A">
              <w:rPr>
                <w:rFonts w:ascii="Times New Roman" w:eastAsia="Times New Roman" w:hAnsi="Times New Roman" w:cs="Times New Roman"/>
                <w:kern w:val="0"/>
                <w:sz w:val="28"/>
                <w:szCs w:val="28"/>
                <w:lang w:eastAsia="pl-PL"/>
                <w14:ligatures w14:val="none"/>
              </w:rPr>
              <w:br/>
              <w:t>- podstawowych parametrów technicznych środka trwałego,</w:t>
            </w:r>
            <w:r w:rsidRPr="00B97E7A">
              <w:rPr>
                <w:rFonts w:ascii="Times New Roman" w:eastAsia="Times New Roman" w:hAnsi="Times New Roman" w:cs="Times New Roman"/>
                <w:kern w:val="0"/>
                <w:sz w:val="28"/>
                <w:szCs w:val="28"/>
                <w:lang w:eastAsia="pl-PL"/>
                <w14:ligatures w14:val="none"/>
              </w:rPr>
              <w:br/>
              <w:t>- bieżącej wartości środka trwałego, poziomu zużycia, okresie trwałości,</w:t>
            </w:r>
            <w:r w:rsidRPr="00B97E7A">
              <w:rPr>
                <w:rFonts w:ascii="Times New Roman" w:eastAsia="Times New Roman" w:hAnsi="Times New Roman" w:cs="Times New Roman"/>
                <w:kern w:val="0"/>
                <w:sz w:val="28"/>
                <w:szCs w:val="28"/>
                <w:lang w:eastAsia="pl-PL"/>
                <w14:ligatures w14:val="none"/>
              </w:rPr>
              <w:br/>
              <w:t>- zleceń przypisanych do danego środka trwałego,</w:t>
            </w:r>
            <w:r w:rsidRPr="00B97E7A">
              <w:rPr>
                <w:rFonts w:ascii="Times New Roman" w:eastAsia="Times New Roman" w:hAnsi="Times New Roman" w:cs="Times New Roman"/>
                <w:kern w:val="0"/>
                <w:sz w:val="28"/>
                <w:szCs w:val="28"/>
                <w:lang w:eastAsia="pl-PL"/>
                <w14:ligatures w14:val="none"/>
              </w:rPr>
              <w:br/>
              <w:t>- kosztów odniesionych w stosunku do danego środka trwałego.</w:t>
            </w:r>
          </w:p>
        </w:tc>
        <w:tc>
          <w:tcPr>
            <w:tcW w:w="850" w:type="dxa"/>
            <w:tcBorders>
              <w:top w:val="nil"/>
              <w:left w:val="nil"/>
              <w:bottom w:val="single" w:sz="8" w:space="0" w:color="auto"/>
              <w:right w:val="single" w:sz="8" w:space="0" w:color="auto"/>
            </w:tcBorders>
            <w:shd w:val="clear" w:color="auto" w:fill="auto"/>
            <w:vAlign w:val="center"/>
            <w:hideMark/>
          </w:tcPr>
          <w:p w14:paraId="1DC92F3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4020E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E0CD7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System musi umożliwić planowanie prac eksploatacyjnych i naprawczych (otwarcie zleceń) dla obiektów wywołanych z poziomu mapy GIS.</w:t>
            </w:r>
          </w:p>
        </w:tc>
        <w:tc>
          <w:tcPr>
            <w:tcW w:w="850" w:type="dxa"/>
            <w:tcBorders>
              <w:top w:val="nil"/>
              <w:left w:val="nil"/>
              <w:bottom w:val="single" w:sz="8" w:space="0" w:color="auto"/>
              <w:right w:val="single" w:sz="8" w:space="0" w:color="auto"/>
            </w:tcBorders>
            <w:shd w:val="clear" w:color="auto" w:fill="auto"/>
            <w:vAlign w:val="center"/>
            <w:hideMark/>
          </w:tcPr>
          <w:p w14:paraId="363869D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97BDDB"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3A73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System musi umożliwiać wizualizację na mapie GIS:</w:t>
            </w:r>
            <w:r w:rsidRPr="00B97E7A">
              <w:rPr>
                <w:rFonts w:ascii="Times New Roman" w:eastAsia="Times New Roman" w:hAnsi="Times New Roman" w:cs="Times New Roman"/>
                <w:kern w:val="0"/>
                <w:sz w:val="28"/>
                <w:szCs w:val="28"/>
                <w:lang w:eastAsia="pl-PL"/>
                <w14:ligatures w14:val="none"/>
              </w:rPr>
              <w:br/>
              <w:t>- raportów technicznych bądź kosztowych dla analizowanych obiektów,</w:t>
            </w:r>
            <w:r w:rsidRPr="00B97E7A">
              <w:rPr>
                <w:rFonts w:ascii="Times New Roman" w:eastAsia="Times New Roman" w:hAnsi="Times New Roman" w:cs="Times New Roman"/>
                <w:kern w:val="0"/>
                <w:sz w:val="28"/>
                <w:szCs w:val="28"/>
                <w:lang w:eastAsia="pl-PL"/>
                <w14:ligatures w14:val="none"/>
              </w:rPr>
              <w:br/>
              <w:t>- zleceń o określonym statusie (otwarte, w trakcie, zamknięte) w czasie rzeczywistym.</w:t>
            </w:r>
          </w:p>
        </w:tc>
        <w:tc>
          <w:tcPr>
            <w:tcW w:w="850" w:type="dxa"/>
            <w:tcBorders>
              <w:top w:val="nil"/>
              <w:left w:val="nil"/>
              <w:bottom w:val="single" w:sz="8" w:space="0" w:color="auto"/>
              <w:right w:val="single" w:sz="8" w:space="0" w:color="auto"/>
            </w:tcBorders>
            <w:shd w:val="clear" w:color="auto" w:fill="auto"/>
            <w:vAlign w:val="center"/>
            <w:hideMark/>
          </w:tcPr>
          <w:p w14:paraId="2D6E5A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5C288B0" w14:textId="77777777" w:rsidTr="002039FC">
        <w:trPr>
          <w:trHeight w:val="1265"/>
        </w:trPr>
        <w:tc>
          <w:tcPr>
            <w:tcW w:w="9215" w:type="dxa"/>
            <w:tcBorders>
              <w:top w:val="nil"/>
              <w:left w:val="single" w:sz="8" w:space="0" w:color="auto"/>
              <w:bottom w:val="nil"/>
              <w:right w:val="single" w:sz="8" w:space="0" w:color="auto"/>
            </w:tcBorders>
            <w:shd w:val="clear" w:color="auto" w:fill="auto"/>
            <w:vAlign w:val="center"/>
            <w:hideMark/>
          </w:tcPr>
          <w:p w14:paraId="415B85ED" w14:textId="24CF4B10"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System musi umożliwiać definiowanie wymaganych raportów dotyczących środków trwałych i zdarzeń z nimi powiązanych.</w:t>
            </w:r>
          </w:p>
        </w:tc>
        <w:tc>
          <w:tcPr>
            <w:tcW w:w="850" w:type="dxa"/>
            <w:tcBorders>
              <w:top w:val="nil"/>
              <w:left w:val="nil"/>
              <w:bottom w:val="nil"/>
              <w:right w:val="single" w:sz="8" w:space="0" w:color="auto"/>
            </w:tcBorders>
            <w:shd w:val="clear" w:color="auto" w:fill="auto"/>
            <w:vAlign w:val="center"/>
            <w:hideMark/>
          </w:tcPr>
          <w:p w14:paraId="6F2DA9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0CF9461" w14:textId="77777777" w:rsidTr="00B97E7A">
        <w:trPr>
          <w:trHeight w:val="735"/>
        </w:trPr>
        <w:tc>
          <w:tcPr>
            <w:tcW w:w="921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02A7C5"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V. MAGAZYNY</w:t>
            </w:r>
          </w:p>
        </w:tc>
        <w:tc>
          <w:tcPr>
            <w:tcW w:w="850" w:type="dxa"/>
            <w:tcBorders>
              <w:top w:val="single" w:sz="8" w:space="0" w:color="auto"/>
              <w:left w:val="nil"/>
              <w:bottom w:val="single" w:sz="8" w:space="0" w:color="auto"/>
              <w:right w:val="single" w:sz="8" w:space="0" w:color="auto"/>
            </w:tcBorders>
            <w:shd w:val="clear" w:color="000000" w:fill="A6A6A6"/>
            <w:vAlign w:val="center"/>
            <w:hideMark/>
          </w:tcPr>
          <w:p w14:paraId="27EB169F"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1D0D23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7BECB6"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OPERACJE MAGAZYNOWE</w:t>
            </w:r>
            <w:r w:rsidRPr="00B97E7A">
              <w:rPr>
                <w:rFonts w:ascii="Times New Roman" w:eastAsia="Times New Roman" w:hAnsi="Times New Roman" w:cs="Times New Roman"/>
                <w:kern w:val="0"/>
                <w:sz w:val="28"/>
                <w:szCs w:val="28"/>
                <w:lang w:eastAsia="pl-PL"/>
                <w14:ligatures w14:val="none"/>
              </w:rPr>
              <w:t xml:space="preserve"> (wszystkie niżej wymienione rodzaje dokumentów powinny być dokumentami wielopozycyjnymi):</w:t>
            </w:r>
          </w:p>
        </w:tc>
        <w:tc>
          <w:tcPr>
            <w:tcW w:w="850" w:type="dxa"/>
            <w:tcBorders>
              <w:top w:val="nil"/>
              <w:left w:val="nil"/>
              <w:bottom w:val="single" w:sz="8" w:space="0" w:color="auto"/>
              <w:right w:val="single" w:sz="8" w:space="0" w:color="auto"/>
            </w:tcBorders>
            <w:shd w:val="clear" w:color="000000" w:fill="A6A6A6"/>
            <w:vAlign w:val="center"/>
            <w:hideMark/>
          </w:tcPr>
          <w:p w14:paraId="4B34C0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805296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1D5D4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Ewidencja przyjęcia materiałów i towarów do magazynu (PW - przychody wewnętrzne, PZ - przychody zewnętrzne):</w:t>
            </w:r>
          </w:p>
        </w:tc>
        <w:tc>
          <w:tcPr>
            <w:tcW w:w="850" w:type="dxa"/>
            <w:tcBorders>
              <w:top w:val="nil"/>
              <w:left w:val="nil"/>
              <w:bottom w:val="single" w:sz="8" w:space="0" w:color="auto"/>
              <w:right w:val="single" w:sz="8" w:space="0" w:color="auto"/>
            </w:tcBorders>
            <w:shd w:val="clear" w:color="000000" w:fill="A6A6A6"/>
            <w:vAlign w:val="center"/>
            <w:hideMark/>
          </w:tcPr>
          <w:p w14:paraId="188F2E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034C790"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132F5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przyjmowanie na stan magazynu materiałów i towarów wraz z następującymi elementami: data dokumentu, data wykonania operacji, PW z podaniem użytkownika (wybór ze słownika/możliwość wprowadzenia), PZ z podaniem dostawcy (możliwość wprowadzenia/wybór ze słownika) i numeru faktury, określenie magazynu, numer kolejny dokumentu, ilość przyjmowanego materiału lub towaru z możliwością podania alternatywnej jednostki miary, indeks materiałowy, cena jednostkowa i cena całkowita danego materiału lub towaru, wartość całkowita dokumentu, suma wszystkich pozycji dokumentu, określenie osób zarządzających przyjmowaniem materiałów (wystawiającej i zatwierdzającej PZ),</w:t>
            </w:r>
          </w:p>
        </w:tc>
        <w:tc>
          <w:tcPr>
            <w:tcW w:w="850" w:type="dxa"/>
            <w:tcBorders>
              <w:top w:val="nil"/>
              <w:left w:val="nil"/>
              <w:bottom w:val="single" w:sz="8" w:space="0" w:color="auto"/>
              <w:right w:val="single" w:sz="8" w:space="0" w:color="auto"/>
            </w:tcBorders>
            <w:shd w:val="clear" w:color="auto" w:fill="auto"/>
            <w:vAlign w:val="center"/>
            <w:hideMark/>
          </w:tcPr>
          <w:p w14:paraId="400BCF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8FF41B"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D89A9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dokument wyposażony w kalkulator cen netto/brutto oraz kalkulator cen (obliczanie „co do grosza”) lub wbudowane w oprogramowanie użytkowe reguły i algorytmy umożliwiające obliczanie wartości dokumentu „co do grosza”,</w:t>
            </w:r>
          </w:p>
        </w:tc>
        <w:tc>
          <w:tcPr>
            <w:tcW w:w="850" w:type="dxa"/>
            <w:tcBorders>
              <w:top w:val="nil"/>
              <w:left w:val="nil"/>
              <w:bottom w:val="single" w:sz="8" w:space="0" w:color="auto"/>
              <w:right w:val="single" w:sz="8" w:space="0" w:color="auto"/>
            </w:tcBorders>
            <w:shd w:val="clear" w:color="auto" w:fill="auto"/>
            <w:vAlign w:val="center"/>
            <w:hideMark/>
          </w:tcPr>
          <w:p w14:paraId="47AF139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7F604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947E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możliwość wprowadzenia szczegółowego określenia materiału (możliwość wprowadzenia w dokumencie – poza nazwą materiału – dodatkowego opisu lub uwag),</w:t>
            </w:r>
          </w:p>
        </w:tc>
        <w:tc>
          <w:tcPr>
            <w:tcW w:w="850" w:type="dxa"/>
            <w:tcBorders>
              <w:top w:val="nil"/>
              <w:left w:val="nil"/>
              <w:bottom w:val="single" w:sz="8" w:space="0" w:color="auto"/>
              <w:right w:val="single" w:sz="8" w:space="0" w:color="auto"/>
            </w:tcBorders>
            <w:shd w:val="clear" w:color="auto" w:fill="auto"/>
            <w:vAlign w:val="center"/>
            <w:hideMark/>
          </w:tcPr>
          <w:p w14:paraId="66CAE9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910E07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9D8E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wyboru z definiowalnego słownika rodzaju przyjęcia materiału np. dostawa niefakturowana, materiały,</w:t>
            </w:r>
          </w:p>
        </w:tc>
        <w:tc>
          <w:tcPr>
            <w:tcW w:w="850" w:type="dxa"/>
            <w:tcBorders>
              <w:top w:val="nil"/>
              <w:left w:val="nil"/>
              <w:bottom w:val="single" w:sz="8" w:space="0" w:color="auto"/>
              <w:right w:val="single" w:sz="8" w:space="0" w:color="auto"/>
            </w:tcBorders>
            <w:shd w:val="clear" w:color="auto" w:fill="auto"/>
            <w:vAlign w:val="center"/>
            <w:hideMark/>
          </w:tcPr>
          <w:p w14:paraId="5D5ECDF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DF7718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7F02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zmiany ceny materiału na dokumencie PZ po przyjęciu do magazynu,</w:t>
            </w:r>
          </w:p>
        </w:tc>
        <w:tc>
          <w:tcPr>
            <w:tcW w:w="850" w:type="dxa"/>
            <w:tcBorders>
              <w:top w:val="nil"/>
              <w:left w:val="nil"/>
              <w:bottom w:val="single" w:sz="8" w:space="0" w:color="auto"/>
              <w:right w:val="single" w:sz="8" w:space="0" w:color="auto"/>
            </w:tcBorders>
            <w:shd w:val="clear" w:color="auto" w:fill="auto"/>
            <w:vAlign w:val="center"/>
            <w:hideMark/>
          </w:tcPr>
          <w:p w14:paraId="1E99665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BC4189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CBB0D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dodawania nowego kontrahenta w momencie rejestracji dokumentu magazynowego.</w:t>
            </w:r>
          </w:p>
        </w:tc>
        <w:tc>
          <w:tcPr>
            <w:tcW w:w="850" w:type="dxa"/>
            <w:tcBorders>
              <w:top w:val="nil"/>
              <w:left w:val="nil"/>
              <w:bottom w:val="single" w:sz="8" w:space="0" w:color="auto"/>
              <w:right w:val="single" w:sz="8" w:space="0" w:color="auto"/>
            </w:tcBorders>
            <w:shd w:val="clear" w:color="auto" w:fill="auto"/>
            <w:vAlign w:val="center"/>
            <w:hideMark/>
          </w:tcPr>
          <w:p w14:paraId="594C36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B3CC1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EFA1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Rejestracja wydania materiałów i towarów z magazynu (RW - rozchody wewnętrzne, RZ - rozchody zewnętrzne):</w:t>
            </w:r>
          </w:p>
        </w:tc>
        <w:tc>
          <w:tcPr>
            <w:tcW w:w="850" w:type="dxa"/>
            <w:tcBorders>
              <w:top w:val="nil"/>
              <w:left w:val="nil"/>
              <w:bottom w:val="single" w:sz="8" w:space="0" w:color="auto"/>
              <w:right w:val="single" w:sz="8" w:space="0" w:color="auto"/>
            </w:tcBorders>
            <w:shd w:val="clear" w:color="000000" w:fill="A6A6A6"/>
            <w:vAlign w:val="center"/>
            <w:hideMark/>
          </w:tcPr>
          <w:p w14:paraId="601E62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F6426CF"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A960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rozchody magazynowe (RW, RZ) wraz z następującymi elementami: określenie magazynu, data dokumentu, data operacji rozchodu, użytkownik: komórka i osoba, której materiał/towar jest wydawany (wybór ze słownika/możliwość wprowadzenia), indeks, ilość, wartość, jednostka miary wydanego materiału/towaru, numer kolejny dokumentu, liczba pozycji w dokumencie, określenie osoby wydającej, zatwierdzającej i pobierającej,</w:t>
            </w:r>
          </w:p>
        </w:tc>
        <w:tc>
          <w:tcPr>
            <w:tcW w:w="850" w:type="dxa"/>
            <w:tcBorders>
              <w:top w:val="nil"/>
              <w:left w:val="nil"/>
              <w:bottom w:val="single" w:sz="8" w:space="0" w:color="auto"/>
              <w:right w:val="single" w:sz="8" w:space="0" w:color="auto"/>
            </w:tcBorders>
            <w:shd w:val="clear" w:color="auto" w:fill="auto"/>
            <w:vAlign w:val="center"/>
            <w:hideMark/>
          </w:tcPr>
          <w:p w14:paraId="20F844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3F19A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31D0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funkcjonalność wyświetlania ilości ogólnej oraz dostępnej materiału w magazynie w momencie wystawiania dokumentu,</w:t>
            </w:r>
          </w:p>
        </w:tc>
        <w:tc>
          <w:tcPr>
            <w:tcW w:w="850" w:type="dxa"/>
            <w:tcBorders>
              <w:top w:val="nil"/>
              <w:left w:val="nil"/>
              <w:bottom w:val="single" w:sz="8" w:space="0" w:color="auto"/>
              <w:right w:val="single" w:sz="8" w:space="0" w:color="auto"/>
            </w:tcBorders>
            <w:shd w:val="clear" w:color="auto" w:fill="auto"/>
            <w:vAlign w:val="center"/>
            <w:hideMark/>
          </w:tcPr>
          <w:p w14:paraId="42234C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70F79D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C7BD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RW w postaci elektronicznej w obiegu wewnętrznym w wersji umożliwiającej zapisanie w aplikacjach np. MS Word, MS Excel, PDF,</w:t>
            </w:r>
          </w:p>
        </w:tc>
        <w:tc>
          <w:tcPr>
            <w:tcW w:w="850" w:type="dxa"/>
            <w:tcBorders>
              <w:top w:val="nil"/>
              <w:left w:val="nil"/>
              <w:bottom w:val="single" w:sz="8" w:space="0" w:color="auto"/>
              <w:right w:val="single" w:sz="8" w:space="0" w:color="auto"/>
            </w:tcBorders>
            <w:shd w:val="clear" w:color="auto" w:fill="auto"/>
            <w:vAlign w:val="center"/>
            <w:hideMark/>
          </w:tcPr>
          <w:p w14:paraId="13B94E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5EFF56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C1EF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rozchód materiałów w kolejności ich przyjęcia do magazynu metoda „pierwsze przyszło - pierwsze wyszło” (FIFO).</w:t>
            </w:r>
          </w:p>
        </w:tc>
        <w:tc>
          <w:tcPr>
            <w:tcW w:w="850" w:type="dxa"/>
            <w:tcBorders>
              <w:top w:val="nil"/>
              <w:left w:val="nil"/>
              <w:bottom w:val="single" w:sz="8" w:space="0" w:color="auto"/>
              <w:right w:val="single" w:sz="8" w:space="0" w:color="auto"/>
            </w:tcBorders>
            <w:shd w:val="clear" w:color="auto" w:fill="auto"/>
            <w:vAlign w:val="center"/>
            <w:hideMark/>
          </w:tcPr>
          <w:p w14:paraId="2604EC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557849C"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A76E4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WZ - wydanie zewnętrzne materiału/towaru przeznaczonego na sprzedaż lub nieodpłatnego przekazania wraz z następującymi elementami: nazwa i adres jednostki, data dokumentu, data operacji z podaniem użytkownika: komórki i osoby, której materiał/towar jest wydawany (wybór ze słownika/możliwość wprowadzenia), indeks, ilość, wartość, jednostka miary wydanego materiału/towaru, numer kolejny dokumentu, określenie osoby wydającej, zatwierdzającej i pobierającej.</w:t>
            </w:r>
          </w:p>
        </w:tc>
        <w:tc>
          <w:tcPr>
            <w:tcW w:w="850" w:type="dxa"/>
            <w:tcBorders>
              <w:top w:val="nil"/>
              <w:left w:val="nil"/>
              <w:bottom w:val="single" w:sz="8" w:space="0" w:color="auto"/>
              <w:right w:val="single" w:sz="8" w:space="0" w:color="auto"/>
            </w:tcBorders>
            <w:shd w:val="clear" w:color="auto" w:fill="auto"/>
            <w:vAlign w:val="center"/>
            <w:hideMark/>
          </w:tcPr>
          <w:p w14:paraId="0F3D7F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99D98A8"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8730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 ZW - zwrot wewnętrzny na magazyn wraz z następującymi elementami: nazwa i adres jednostki, data dokumentu, data operacji z podaniem użytkownika: komórki i osoby, z której materiał/towar jest zwracany (wybór ze słownika/ możliwość wprowadzenia), indeks, ilość, wartość, jednostka miary wydanego materiału/towaru, numer kolejny dowodu, określenie osoby zwracającej, zatwierdzającej i pobierającej oraz z możliwością powołania się na dokument pierwotny RW i pobrania danych z niego do tworzonego dokument ZW (indeks, cena).</w:t>
            </w:r>
          </w:p>
        </w:tc>
        <w:tc>
          <w:tcPr>
            <w:tcW w:w="850" w:type="dxa"/>
            <w:tcBorders>
              <w:top w:val="nil"/>
              <w:left w:val="nil"/>
              <w:bottom w:val="single" w:sz="8" w:space="0" w:color="auto"/>
              <w:right w:val="single" w:sz="8" w:space="0" w:color="auto"/>
            </w:tcBorders>
            <w:shd w:val="clear" w:color="auto" w:fill="auto"/>
            <w:vAlign w:val="center"/>
            <w:hideMark/>
          </w:tcPr>
          <w:p w14:paraId="625F35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0693A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F64E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MM - przesunięcie materiału między magazynami wraz następującymi elementami: Nazwa/ symbol magazynu, nr dokumentu, data rodzaj operacji, nazwa symbol magazynu przyjmującego, indeks, jednostka miary, nazwa materiału, ilość, wartość, dane wystawiających i zatwierdzających dokument.</w:t>
            </w:r>
          </w:p>
        </w:tc>
        <w:tc>
          <w:tcPr>
            <w:tcW w:w="850" w:type="dxa"/>
            <w:tcBorders>
              <w:top w:val="nil"/>
              <w:left w:val="nil"/>
              <w:bottom w:val="single" w:sz="8" w:space="0" w:color="auto"/>
              <w:right w:val="single" w:sz="8" w:space="0" w:color="auto"/>
            </w:tcBorders>
            <w:shd w:val="clear" w:color="auto" w:fill="auto"/>
            <w:vAlign w:val="center"/>
            <w:hideMark/>
          </w:tcPr>
          <w:p w14:paraId="5D3547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9CC1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5A9C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Prezentację ilościową i wartościową dokumentów magazynowych na wydrukach i ekranie w trakcie generowania dokumentów.</w:t>
            </w:r>
          </w:p>
        </w:tc>
        <w:tc>
          <w:tcPr>
            <w:tcW w:w="850" w:type="dxa"/>
            <w:tcBorders>
              <w:top w:val="nil"/>
              <w:left w:val="nil"/>
              <w:bottom w:val="single" w:sz="8" w:space="0" w:color="auto"/>
              <w:right w:val="single" w:sz="8" w:space="0" w:color="auto"/>
            </w:tcBorders>
            <w:shd w:val="clear" w:color="auto" w:fill="auto"/>
            <w:vAlign w:val="center"/>
            <w:hideMark/>
          </w:tcPr>
          <w:p w14:paraId="6A337F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2C37D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B6426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wielokrotnego wydruku wprowadzonego dokumentu.</w:t>
            </w:r>
          </w:p>
        </w:tc>
        <w:tc>
          <w:tcPr>
            <w:tcW w:w="850" w:type="dxa"/>
            <w:tcBorders>
              <w:top w:val="nil"/>
              <w:left w:val="nil"/>
              <w:bottom w:val="single" w:sz="8" w:space="0" w:color="auto"/>
              <w:right w:val="single" w:sz="8" w:space="0" w:color="auto"/>
            </w:tcBorders>
            <w:shd w:val="clear" w:color="auto" w:fill="auto"/>
            <w:vAlign w:val="center"/>
            <w:hideMark/>
          </w:tcPr>
          <w:p w14:paraId="171F2D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0E1FE8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67C37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wyboru ilości kopii drukowanych dokumentów.</w:t>
            </w:r>
          </w:p>
        </w:tc>
        <w:tc>
          <w:tcPr>
            <w:tcW w:w="850" w:type="dxa"/>
            <w:tcBorders>
              <w:top w:val="nil"/>
              <w:left w:val="nil"/>
              <w:bottom w:val="single" w:sz="8" w:space="0" w:color="auto"/>
              <w:right w:val="single" w:sz="8" w:space="0" w:color="auto"/>
            </w:tcBorders>
            <w:shd w:val="clear" w:color="auto" w:fill="auto"/>
            <w:vAlign w:val="center"/>
            <w:hideMark/>
          </w:tcPr>
          <w:p w14:paraId="48C2B6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6D5512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EEBA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Kontrola obiegu w/w dokumentów poprzez system statusów opracowywanych, tj. wystawiony, zatwierdzony, wydany, przyjęty, itp.</w:t>
            </w:r>
          </w:p>
        </w:tc>
        <w:tc>
          <w:tcPr>
            <w:tcW w:w="850" w:type="dxa"/>
            <w:tcBorders>
              <w:top w:val="nil"/>
              <w:left w:val="nil"/>
              <w:bottom w:val="single" w:sz="8" w:space="0" w:color="auto"/>
              <w:right w:val="single" w:sz="8" w:space="0" w:color="auto"/>
            </w:tcBorders>
            <w:shd w:val="clear" w:color="auto" w:fill="auto"/>
            <w:vAlign w:val="center"/>
            <w:hideMark/>
          </w:tcPr>
          <w:p w14:paraId="696C9D2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E2C42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9664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Ewidencjonowanie stanów magazynowych pod względem ilościowym i wartościowym.</w:t>
            </w:r>
          </w:p>
        </w:tc>
        <w:tc>
          <w:tcPr>
            <w:tcW w:w="850" w:type="dxa"/>
            <w:tcBorders>
              <w:top w:val="nil"/>
              <w:left w:val="nil"/>
              <w:bottom w:val="single" w:sz="8" w:space="0" w:color="auto"/>
              <w:right w:val="single" w:sz="8" w:space="0" w:color="auto"/>
            </w:tcBorders>
            <w:shd w:val="clear" w:color="auto" w:fill="auto"/>
            <w:vAlign w:val="center"/>
            <w:hideMark/>
          </w:tcPr>
          <w:p w14:paraId="648C63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52B10E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8B0C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zdefiniowania wielu numeratorów dokumentów z wykorzystaniem słowników systemowych (np. kod zaopatrzeniowca, symbol działu, magazyn).</w:t>
            </w:r>
          </w:p>
        </w:tc>
        <w:tc>
          <w:tcPr>
            <w:tcW w:w="850" w:type="dxa"/>
            <w:tcBorders>
              <w:top w:val="nil"/>
              <w:left w:val="nil"/>
              <w:bottom w:val="single" w:sz="8" w:space="0" w:color="auto"/>
              <w:right w:val="single" w:sz="8" w:space="0" w:color="auto"/>
            </w:tcBorders>
            <w:shd w:val="clear" w:color="auto" w:fill="auto"/>
            <w:vAlign w:val="center"/>
            <w:hideMark/>
          </w:tcPr>
          <w:p w14:paraId="277C43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2BE7A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3582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Automatyczne generowanie numeru dopisywanego dokumentu.</w:t>
            </w:r>
          </w:p>
        </w:tc>
        <w:tc>
          <w:tcPr>
            <w:tcW w:w="850" w:type="dxa"/>
            <w:tcBorders>
              <w:top w:val="nil"/>
              <w:left w:val="nil"/>
              <w:bottom w:val="single" w:sz="8" w:space="0" w:color="auto"/>
              <w:right w:val="single" w:sz="8" w:space="0" w:color="auto"/>
            </w:tcBorders>
            <w:shd w:val="clear" w:color="auto" w:fill="auto"/>
            <w:vAlign w:val="center"/>
            <w:hideMark/>
          </w:tcPr>
          <w:p w14:paraId="5FC950C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A4F93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6224C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Kontrola przekroczeń i niedoborów dostawy w stosunku do zamówienia w tym:</w:t>
            </w:r>
          </w:p>
        </w:tc>
        <w:tc>
          <w:tcPr>
            <w:tcW w:w="850" w:type="dxa"/>
            <w:tcBorders>
              <w:top w:val="nil"/>
              <w:left w:val="nil"/>
              <w:bottom w:val="single" w:sz="8" w:space="0" w:color="auto"/>
              <w:right w:val="single" w:sz="8" w:space="0" w:color="auto"/>
            </w:tcBorders>
            <w:shd w:val="clear" w:color="000000" w:fill="A6A6A6"/>
            <w:vAlign w:val="center"/>
            <w:hideMark/>
          </w:tcPr>
          <w:p w14:paraId="342A4B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DD6518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F9B1F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13.1. Kontrola jakościowa; (możliwość podglądu powiązanej z zakupem umowy przez magazyniera),</w:t>
            </w:r>
          </w:p>
        </w:tc>
        <w:tc>
          <w:tcPr>
            <w:tcW w:w="850" w:type="dxa"/>
            <w:tcBorders>
              <w:top w:val="nil"/>
              <w:left w:val="nil"/>
              <w:bottom w:val="single" w:sz="8" w:space="0" w:color="auto"/>
              <w:right w:val="single" w:sz="8" w:space="0" w:color="auto"/>
            </w:tcBorders>
            <w:shd w:val="clear" w:color="auto" w:fill="auto"/>
            <w:vAlign w:val="center"/>
            <w:hideMark/>
          </w:tcPr>
          <w:p w14:paraId="6A2DE5D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AAB2D0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0270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13.2. Kontrola ilościowa (zamówienia),</w:t>
            </w:r>
          </w:p>
        </w:tc>
        <w:tc>
          <w:tcPr>
            <w:tcW w:w="850" w:type="dxa"/>
            <w:tcBorders>
              <w:top w:val="nil"/>
              <w:left w:val="nil"/>
              <w:bottom w:val="single" w:sz="8" w:space="0" w:color="auto"/>
              <w:right w:val="single" w:sz="8" w:space="0" w:color="auto"/>
            </w:tcBorders>
            <w:shd w:val="clear" w:color="auto" w:fill="auto"/>
            <w:vAlign w:val="center"/>
            <w:hideMark/>
          </w:tcPr>
          <w:p w14:paraId="529A0B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4CFA01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EAB55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13.3. Kontrola cenowa (zamówienia, umowy).</w:t>
            </w:r>
          </w:p>
        </w:tc>
        <w:tc>
          <w:tcPr>
            <w:tcW w:w="850" w:type="dxa"/>
            <w:tcBorders>
              <w:top w:val="nil"/>
              <w:left w:val="nil"/>
              <w:bottom w:val="single" w:sz="8" w:space="0" w:color="auto"/>
              <w:right w:val="single" w:sz="8" w:space="0" w:color="auto"/>
            </w:tcBorders>
            <w:shd w:val="clear" w:color="auto" w:fill="auto"/>
            <w:vAlign w:val="center"/>
            <w:hideMark/>
          </w:tcPr>
          <w:p w14:paraId="2E3C92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E21087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3D5C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Kontrola terminów dostaw.</w:t>
            </w:r>
          </w:p>
        </w:tc>
        <w:tc>
          <w:tcPr>
            <w:tcW w:w="850" w:type="dxa"/>
            <w:tcBorders>
              <w:top w:val="nil"/>
              <w:left w:val="nil"/>
              <w:bottom w:val="single" w:sz="8" w:space="0" w:color="auto"/>
              <w:right w:val="single" w:sz="8" w:space="0" w:color="auto"/>
            </w:tcBorders>
            <w:shd w:val="clear" w:color="auto" w:fill="auto"/>
            <w:vAlign w:val="center"/>
            <w:hideMark/>
          </w:tcPr>
          <w:p w14:paraId="292226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2C867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4D7F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wygenerowania dokumentu PZ na podstawie zamówienia.</w:t>
            </w:r>
          </w:p>
        </w:tc>
        <w:tc>
          <w:tcPr>
            <w:tcW w:w="850" w:type="dxa"/>
            <w:tcBorders>
              <w:top w:val="nil"/>
              <w:left w:val="nil"/>
              <w:bottom w:val="single" w:sz="8" w:space="0" w:color="auto"/>
              <w:right w:val="single" w:sz="8" w:space="0" w:color="auto"/>
            </w:tcBorders>
            <w:shd w:val="clear" w:color="auto" w:fill="auto"/>
            <w:vAlign w:val="center"/>
            <w:hideMark/>
          </w:tcPr>
          <w:p w14:paraId="5C1622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9D315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2EF9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powiązania PZ z fakturą zakupu.</w:t>
            </w:r>
          </w:p>
        </w:tc>
        <w:tc>
          <w:tcPr>
            <w:tcW w:w="850" w:type="dxa"/>
            <w:tcBorders>
              <w:top w:val="nil"/>
              <w:left w:val="nil"/>
              <w:bottom w:val="single" w:sz="8" w:space="0" w:color="auto"/>
              <w:right w:val="single" w:sz="8" w:space="0" w:color="auto"/>
            </w:tcBorders>
            <w:shd w:val="clear" w:color="auto" w:fill="auto"/>
            <w:vAlign w:val="center"/>
            <w:hideMark/>
          </w:tcPr>
          <w:p w14:paraId="0826191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DE9000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79BF7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powiązania kilku dokumentów PZ z jedną fakturą.</w:t>
            </w:r>
          </w:p>
        </w:tc>
        <w:tc>
          <w:tcPr>
            <w:tcW w:w="850" w:type="dxa"/>
            <w:tcBorders>
              <w:top w:val="nil"/>
              <w:left w:val="nil"/>
              <w:bottom w:val="single" w:sz="8" w:space="0" w:color="auto"/>
              <w:right w:val="single" w:sz="8" w:space="0" w:color="auto"/>
            </w:tcBorders>
            <w:shd w:val="clear" w:color="auto" w:fill="auto"/>
            <w:vAlign w:val="center"/>
            <w:hideMark/>
          </w:tcPr>
          <w:p w14:paraId="36B377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6DCCB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B23D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powiązania dokumentu PZ oraz faktury zakupu z umową.</w:t>
            </w:r>
          </w:p>
        </w:tc>
        <w:tc>
          <w:tcPr>
            <w:tcW w:w="850" w:type="dxa"/>
            <w:tcBorders>
              <w:top w:val="nil"/>
              <w:left w:val="nil"/>
              <w:bottom w:val="single" w:sz="8" w:space="0" w:color="auto"/>
              <w:right w:val="single" w:sz="8" w:space="0" w:color="auto"/>
            </w:tcBorders>
            <w:shd w:val="clear" w:color="auto" w:fill="auto"/>
            <w:vAlign w:val="center"/>
            <w:hideMark/>
          </w:tcPr>
          <w:p w14:paraId="66E273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CCD12F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52E1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Obsługa dokumentów dotyczących strat losowych, likwidacji, przeceny materiałów.</w:t>
            </w:r>
          </w:p>
        </w:tc>
        <w:tc>
          <w:tcPr>
            <w:tcW w:w="850" w:type="dxa"/>
            <w:tcBorders>
              <w:top w:val="nil"/>
              <w:left w:val="nil"/>
              <w:bottom w:val="single" w:sz="8" w:space="0" w:color="auto"/>
              <w:right w:val="single" w:sz="8" w:space="0" w:color="auto"/>
            </w:tcBorders>
            <w:shd w:val="clear" w:color="auto" w:fill="auto"/>
            <w:vAlign w:val="center"/>
            <w:hideMark/>
          </w:tcPr>
          <w:p w14:paraId="51A833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19F749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5E4B0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Współpraca z czytnikami kodów kreskowych i kodów QR.</w:t>
            </w:r>
          </w:p>
        </w:tc>
        <w:tc>
          <w:tcPr>
            <w:tcW w:w="850" w:type="dxa"/>
            <w:tcBorders>
              <w:top w:val="nil"/>
              <w:left w:val="nil"/>
              <w:bottom w:val="single" w:sz="8" w:space="0" w:color="auto"/>
              <w:right w:val="single" w:sz="8" w:space="0" w:color="auto"/>
            </w:tcBorders>
            <w:shd w:val="clear" w:color="auto" w:fill="auto"/>
            <w:vAlign w:val="center"/>
            <w:hideMark/>
          </w:tcPr>
          <w:p w14:paraId="1672151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9E1871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4779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Prowadzenie kartoteki stanów magazynowych w wielu magazynach równocześnie z widokiem końcowym sumy wszystkich magazynów.</w:t>
            </w:r>
          </w:p>
        </w:tc>
        <w:tc>
          <w:tcPr>
            <w:tcW w:w="850" w:type="dxa"/>
            <w:tcBorders>
              <w:top w:val="nil"/>
              <w:left w:val="nil"/>
              <w:bottom w:val="single" w:sz="8" w:space="0" w:color="auto"/>
              <w:right w:val="single" w:sz="8" w:space="0" w:color="auto"/>
            </w:tcBorders>
            <w:shd w:val="clear" w:color="auto" w:fill="auto"/>
            <w:vAlign w:val="center"/>
            <w:hideMark/>
          </w:tcPr>
          <w:p w14:paraId="49FBBF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A3597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099A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prowadzenia magazynów pozabilansowo.</w:t>
            </w:r>
          </w:p>
        </w:tc>
        <w:tc>
          <w:tcPr>
            <w:tcW w:w="850" w:type="dxa"/>
            <w:tcBorders>
              <w:top w:val="nil"/>
              <w:left w:val="nil"/>
              <w:bottom w:val="single" w:sz="8" w:space="0" w:color="auto"/>
              <w:right w:val="single" w:sz="8" w:space="0" w:color="auto"/>
            </w:tcBorders>
            <w:shd w:val="clear" w:color="auto" w:fill="auto"/>
            <w:vAlign w:val="center"/>
            <w:hideMark/>
          </w:tcPr>
          <w:p w14:paraId="57767C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62A06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AB8A4F" w14:textId="7B6F295E"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23. Możliwość zastosowania różnego rodzaju wyceny materiałów w magazynie (np. </w:t>
            </w:r>
            <w:r w:rsidR="00F3494C">
              <w:rPr>
                <w:rFonts w:ascii="Times New Roman" w:eastAsia="Times New Roman" w:hAnsi="Times New Roman" w:cs="Times New Roman"/>
                <w:kern w:val="0"/>
                <w:sz w:val="28"/>
                <w:szCs w:val="28"/>
                <w:lang w:eastAsia="pl-PL"/>
                <w14:ligatures w14:val="none"/>
              </w:rPr>
              <w:t>dla</w:t>
            </w:r>
            <w:r w:rsidRPr="00B97E7A">
              <w:rPr>
                <w:rFonts w:ascii="Times New Roman" w:eastAsia="Times New Roman" w:hAnsi="Times New Roman" w:cs="Times New Roman"/>
                <w:kern w:val="0"/>
                <w:sz w:val="28"/>
                <w:szCs w:val="28"/>
                <w:lang w:eastAsia="pl-PL"/>
                <w14:ligatures w14:val="none"/>
              </w:rPr>
              <w:t xml:space="preserve"> różnych</w:t>
            </w:r>
            <w:r w:rsidR="00F3494C">
              <w:rPr>
                <w:rFonts w:ascii="Times New Roman" w:eastAsia="Times New Roman" w:hAnsi="Times New Roman" w:cs="Times New Roman"/>
                <w:kern w:val="0"/>
                <w:sz w:val="28"/>
                <w:szCs w:val="28"/>
                <w:lang w:eastAsia="pl-PL"/>
                <w14:ligatures w14:val="none"/>
              </w:rPr>
              <w:t xml:space="preserve"> asortymentów</w:t>
            </w:r>
            <w:r w:rsidRPr="00B97E7A">
              <w:rPr>
                <w:rFonts w:ascii="Times New Roman" w:eastAsia="Times New Roman" w:hAnsi="Times New Roman" w:cs="Times New Roman"/>
                <w:kern w:val="0"/>
                <w:sz w:val="28"/>
                <w:szCs w:val="28"/>
                <w:lang w:eastAsia="pl-PL"/>
                <w14:ligatures w14:val="none"/>
              </w:rPr>
              <w:t xml:space="preserve"> inny rodzaj).</w:t>
            </w:r>
          </w:p>
        </w:tc>
        <w:tc>
          <w:tcPr>
            <w:tcW w:w="850" w:type="dxa"/>
            <w:tcBorders>
              <w:top w:val="nil"/>
              <w:left w:val="nil"/>
              <w:bottom w:val="single" w:sz="8" w:space="0" w:color="auto"/>
              <w:right w:val="single" w:sz="8" w:space="0" w:color="auto"/>
            </w:tcBorders>
            <w:shd w:val="clear" w:color="auto" w:fill="auto"/>
            <w:vAlign w:val="center"/>
            <w:hideMark/>
          </w:tcPr>
          <w:p w14:paraId="5FE5EA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1F7ED7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B11A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analizy rozchodów według wielu kryteriów i przekrojów, np. RW wg MPK, daty, indeksu, syntetyki, okresu.</w:t>
            </w:r>
          </w:p>
        </w:tc>
        <w:tc>
          <w:tcPr>
            <w:tcW w:w="850" w:type="dxa"/>
            <w:tcBorders>
              <w:top w:val="nil"/>
              <w:left w:val="nil"/>
              <w:bottom w:val="single" w:sz="8" w:space="0" w:color="auto"/>
              <w:right w:val="single" w:sz="8" w:space="0" w:color="auto"/>
            </w:tcBorders>
            <w:shd w:val="clear" w:color="auto" w:fill="auto"/>
            <w:vAlign w:val="center"/>
            <w:hideMark/>
          </w:tcPr>
          <w:p w14:paraId="614869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5B301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5CD8D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Możliwość przyjmowania towarów z ilością do trzech miejsc po przecinku.</w:t>
            </w:r>
          </w:p>
        </w:tc>
        <w:tc>
          <w:tcPr>
            <w:tcW w:w="850" w:type="dxa"/>
            <w:tcBorders>
              <w:top w:val="nil"/>
              <w:left w:val="nil"/>
              <w:bottom w:val="single" w:sz="8" w:space="0" w:color="auto"/>
              <w:right w:val="single" w:sz="8" w:space="0" w:color="auto"/>
            </w:tcBorders>
            <w:shd w:val="clear" w:color="auto" w:fill="auto"/>
            <w:vAlign w:val="center"/>
            <w:hideMark/>
          </w:tcPr>
          <w:p w14:paraId="77F6E9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DEE56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51DC8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Wieloetapowa (wystawianie, akceptacja, zatwierdzanie) obsługa dokumentów magazynowych z różnymi uprawnieniami.</w:t>
            </w:r>
          </w:p>
        </w:tc>
        <w:tc>
          <w:tcPr>
            <w:tcW w:w="850" w:type="dxa"/>
            <w:tcBorders>
              <w:top w:val="nil"/>
              <w:left w:val="nil"/>
              <w:bottom w:val="single" w:sz="8" w:space="0" w:color="auto"/>
              <w:right w:val="single" w:sz="8" w:space="0" w:color="auto"/>
            </w:tcBorders>
            <w:shd w:val="clear" w:color="auto" w:fill="auto"/>
            <w:vAlign w:val="center"/>
            <w:hideMark/>
          </w:tcPr>
          <w:p w14:paraId="7685AA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D99F3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139BD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Wystawianie korekt dokumentów (ilościowych i wartościowych).</w:t>
            </w:r>
          </w:p>
        </w:tc>
        <w:tc>
          <w:tcPr>
            <w:tcW w:w="850" w:type="dxa"/>
            <w:tcBorders>
              <w:top w:val="nil"/>
              <w:left w:val="nil"/>
              <w:bottom w:val="single" w:sz="8" w:space="0" w:color="auto"/>
              <w:right w:val="single" w:sz="8" w:space="0" w:color="auto"/>
            </w:tcBorders>
            <w:shd w:val="clear" w:color="auto" w:fill="auto"/>
            <w:vAlign w:val="center"/>
            <w:hideMark/>
          </w:tcPr>
          <w:p w14:paraId="454DCD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7F201D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BDAE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Realizacja wydań magazynowych w oparciu o złożone wcześniej zapotrzebowania.</w:t>
            </w:r>
          </w:p>
        </w:tc>
        <w:tc>
          <w:tcPr>
            <w:tcW w:w="850" w:type="dxa"/>
            <w:tcBorders>
              <w:top w:val="nil"/>
              <w:left w:val="nil"/>
              <w:bottom w:val="single" w:sz="8" w:space="0" w:color="auto"/>
              <w:right w:val="single" w:sz="8" w:space="0" w:color="auto"/>
            </w:tcBorders>
            <w:shd w:val="clear" w:color="auto" w:fill="auto"/>
            <w:vAlign w:val="center"/>
            <w:hideMark/>
          </w:tcPr>
          <w:p w14:paraId="76EC07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BF044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3CFA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29. Możliwość korzystania z rezerwacji towaru wg projektu, realizacja rozchodu na podstawie zapotrzebowania, kontrola ilości pozostałej do realizacji.</w:t>
            </w:r>
          </w:p>
        </w:tc>
        <w:tc>
          <w:tcPr>
            <w:tcW w:w="850" w:type="dxa"/>
            <w:tcBorders>
              <w:top w:val="nil"/>
              <w:left w:val="nil"/>
              <w:bottom w:val="single" w:sz="8" w:space="0" w:color="auto"/>
              <w:right w:val="single" w:sz="8" w:space="0" w:color="auto"/>
            </w:tcBorders>
            <w:shd w:val="clear" w:color="auto" w:fill="auto"/>
            <w:vAlign w:val="center"/>
            <w:hideMark/>
          </w:tcPr>
          <w:p w14:paraId="107453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C6D704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143C3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Zarządzanie zapasem magazynowym poprzez definiowanie określonej lokalizacji (</w:t>
            </w:r>
            <w:proofErr w:type="spellStart"/>
            <w:r w:rsidRPr="00B97E7A">
              <w:rPr>
                <w:rFonts w:ascii="Times New Roman" w:eastAsia="Times New Roman" w:hAnsi="Times New Roman" w:cs="Times New Roman"/>
                <w:kern w:val="0"/>
                <w:sz w:val="28"/>
                <w:szCs w:val="28"/>
                <w:lang w:eastAsia="pl-PL"/>
                <w14:ligatures w14:val="none"/>
              </w:rPr>
              <w:t>podmagazyny</w:t>
            </w:r>
            <w:proofErr w:type="spellEnd"/>
            <w:r w:rsidRPr="00B97E7A">
              <w:rPr>
                <w:rFonts w:ascii="Times New Roman" w:eastAsia="Times New Roman" w:hAnsi="Times New Roman" w:cs="Times New Roman"/>
                <w:kern w:val="0"/>
                <w:sz w:val="28"/>
                <w:szCs w:val="28"/>
                <w:lang w:eastAsia="pl-PL"/>
                <w14:ligatures w14:val="none"/>
              </w:rPr>
              <w:t>).</w:t>
            </w:r>
          </w:p>
        </w:tc>
        <w:tc>
          <w:tcPr>
            <w:tcW w:w="850" w:type="dxa"/>
            <w:tcBorders>
              <w:top w:val="nil"/>
              <w:left w:val="nil"/>
              <w:bottom w:val="single" w:sz="8" w:space="0" w:color="auto"/>
              <w:right w:val="single" w:sz="8" w:space="0" w:color="auto"/>
            </w:tcBorders>
            <w:shd w:val="clear" w:color="auto" w:fill="auto"/>
            <w:vAlign w:val="center"/>
            <w:hideMark/>
          </w:tcPr>
          <w:p w14:paraId="7355C4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D7ABE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793D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31. Możliwość bieżącej kontroli stanów magazynowych z sygnalizacją przekroczenia normatywów zapasu danego asortymentu, dostępną już na etapie rejestracji dokumentu magazynowego.</w:t>
            </w:r>
          </w:p>
        </w:tc>
        <w:tc>
          <w:tcPr>
            <w:tcW w:w="850" w:type="dxa"/>
            <w:tcBorders>
              <w:top w:val="nil"/>
              <w:left w:val="nil"/>
              <w:bottom w:val="single" w:sz="8" w:space="0" w:color="auto"/>
              <w:right w:val="single" w:sz="8" w:space="0" w:color="auto"/>
            </w:tcBorders>
            <w:shd w:val="clear" w:color="auto" w:fill="auto"/>
            <w:vAlign w:val="center"/>
            <w:hideMark/>
          </w:tcPr>
          <w:p w14:paraId="3F39D6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D9943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EA1A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Automatyczne generowanie zapotrzebowań magazynowych w statusie do „zatwierdzenia”, uzupełniających stany magazynowe w oparciu o stany minimalne i maksymalne.</w:t>
            </w:r>
          </w:p>
        </w:tc>
        <w:tc>
          <w:tcPr>
            <w:tcW w:w="850" w:type="dxa"/>
            <w:tcBorders>
              <w:top w:val="nil"/>
              <w:left w:val="nil"/>
              <w:bottom w:val="single" w:sz="8" w:space="0" w:color="auto"/>
              <w:right w:val="single" w:sz="8" w:space="0" w:color="auto"/>
            </w:tcBorders>
            <w:shd w:val="clear" w:color="auto" w:fill="auto"/>
            <w:vAlign w:val="center"/>
            <w:hideMark/>
          </w:tcPr>
          <w:p w14:paraId="5411182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4DC4B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181D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Gospodarka paletowa.</w:t>
            </w:r>
          </w:p>
        </w:tc>
        <w:tc>
          <w:tcPr>
            <w:tcW w:w="850" w:type="dxa"/>
            <w:tcBorders>
              <w:top w:val="nil"/>
              <w:left w:val="nil"/>
              <w:bottom w:val="single" w:sz="8" w:space="0" w:color="auto"/>
              <w:right w:val="single" w:sz="8" w:space="0" w:color="auto"/>
            </w:tcBorders>
            <w:shd w:val="clear" w:color="auto" w:fill="auto"/>
            <w:vAlign w:val="center"/>
            <w:hideMark/>
          </w:tcPr>
          <w:p w14:paraId="7437874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84F234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80D8E0"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SŁOWNIKI</w:t>
            </w:r>
          </w:p>
        </w:tc>
        <w:tc>
          <w:tcPr>
            <w:tcW w:w="850" w:type="dxa"/>
            <w:tcBorders>
              <w:top w:val="nil"/>
              <w:left w:val="nil"/>
              <w:bottom w:val="single" w:sz="8" w:space="0" w:color="auto"/>
              <w:right w:val="single" w:sz="8" w:space="0" w:color="auto"/>
            </w:tcBorders>
            <w:shd w:val="clear" w:color="000000" w:fill="A6A6A6"/>
            <w:vAlign w:val="center"/>
            <w:hideMark/>
          </w:tcPr>
          <w:p w14:paraId="3D0D0A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EFB3ED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090F1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samodzielnego tworzenia i modyfikowania słowników.</w:t>
            </w:r>
          </w:p>
        </w:tc>
        <w:tc>
          <w:tcPr>
            <w:tcW w:w="850" w:type="dxa"/>
            <w:tcBorders>
              <w:top w:val="nil"/>
              <w:left w:val="nil"/>
              <w:bottom w:val="single" w:sz="8" w:space="0" w:color="auto"/>
              <w:right w:val="single" w:sz="8" w:space="0" w:color="auto"/>
            </w:tcBorders>
            <w:shd w:val="clear" w:color="auto" w:fill="auto"/>
            <w:vAlign w:val="center"/>
            <w:hideMark/>
          </w:tcPr>
          <w:p w14:paraId="2994DD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383B6D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A6DD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Magazyny (możliwość definiowania nowych magazynów).</w:t>
            </w:r>
          </w:p>
        </w:tc>
        <w:tc>
          <w:tcPr>
            <w:tcW w:w="850" w:type="dxa"/>
            <w:tcBorders>
              <w:top w:val="nil"/>
              <w:left w:val="nil"/>
              <w:bottom w:val="single" w:sz="8" w:space="0" w:color="auto"/>
              <w:right w:val="single" w:sz="8" w:space="0" w:color="auto"/>
            </w:tcBorders>
            <w:shd w:val="clear" w:color="auto" w:fill="auto"/>
            <w:vAlign w:val="center"/>
            <w:hideMark/>
          </w:tcPr>
          <w:p w14:paraId="777FF9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083F7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0ABE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Lokalizacje w magazynie.</w:t>
            </w:r>
          </w:p>
        </w:tc>
        <w:tc>
          <w:tcPr>
            <w:tcW w:w="850" w:type="dxa"/>
            <w:tcBorders>
              <w:top w:val="nil"/>
              <w:left w:val="nil"/>
              <w:bottom w:val="single" w:sz="8" w:space="0" w:color="auto"/>
              <w:right w:val="single" w:sz="8" w:space="0" w:color="auto"/>
            </w:tcBorders>
            <w:shd w:val="clear" w:color="auto" w:fill="auto"/>
            <w:vAlign w:val="center"/>
            <w:hideMark/>
          </w:tcPr>
          <w:p w14:paraId="0A44F2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6DA33B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1785DC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Kontrahenci/dostawcy.</w:t>
            </w:r>
          </w:p>
        </w:tc>
        <w:tc>
          <w:tcPr>
            <w:tcW w:w="850" w:type="dxa"/>
            <w:tcBorders>
              <w:top w:val="nil"/>
              <w:left w:val="nil"/>
              <w:bottom w:val="single" w:sz="8" w:space="0" w:color="auto"/>
              <w:right w:val="single" w:sz="8" w:space="0" w:color="auto"/>
            </w:tcBorders>
            <w:shd w:val="clear" w:color="auto" w:fill="auto"/>
            <w:vAlign w:val="center"/>
            <w:hideMark/>
          </w:tcPr>
          <w:p w14:paraId="61B34E9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B0066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FEFD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Rodzaje materiałowe np. art. piśmienno-biurowe, art. czystościowe, itd.).</w:t>
            </w:r>
          </w:p>
        </w:tc>
        <w:tc>
          <w:tcPr>
            <w:tcW w:w="850" w:type="dxa"/>
            <w:tcBorders>
              <w:top w:val="nil"/>
              <w:left w:val="nil"/>
              <w:bottom w:val="single" w:sz="8" w:space="0" w:color="auto"/>
              <w:right w:val="single" w:sz="8" w:space="0" w:color="auto"/>
            </w:tcBorders>
            <w:shd w:val="clear" w:color="auto" w:fill="auto"/>
            <w:vAlign w:val="center"/>
            <w:hideMark/>
          </w:tcPr>
          <w:p w14:paraId="304741B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04267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F38FB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Kody rodzajów operacji dla poszczególnych dokumentów magazynowych w połączeniu z kontem księgowym.</w:t>
            </w:r>
          </w:p>
        </w:tc>
        <w:tc>
          <w:tcPr>
            <w:tcW w:w="850" w:type="dxa"/>
            <w:tcBorders>
              <w:top w:val="nil"/>
              <w:left w:val="nil"/>
              <w:bottom w:val="single" w:sz="8" w:space="0" w:color="auto"/>
              <w:right w:val="single" w:sz="8" w:space="0" w:color="auto"/>
            </w:tcBorders>
            <w:shd w:val="clear" w:color="auto" w:fill="auto"/>
            <w:vAlign w:val="center"/>
            <w:hideMark/>
          </w:tcPr>
          <w:p w14:paraId="41DD2C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7113E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43C6D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Pracownicy (w powiązaniu z modułem kadrowym).</w:t>
            </w:r>
          </w:p>
        </w:tc>
        <w:tc>
          <w:tcPr>
            <w:tcW w:w="850" w:type="dxa"/>
            <w:tcBorders>
              <w:top w:val="nil"/>
              <w:left w:val="nil"/>
              <w:bottom w:val="single" w:sz="8" w:space="0" w:color="auto"/>
              <w:right w:val="single" w:sz="8" w:space="0" w:color="auto"/>
            </w:tcBorders>
            <w:shd w:val="clear" w:color="auto" w:fill="auto"/>
            <w:vAlign w:val="center"/>
            <w:hideMark/>
          </w:tcPr>
          <w:p w14:paraId="5A3027B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6CE56A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15E6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Jednostki miary.</w:t>
            </w:r>
          </w:p>
        </w:tc>
        <w:tc>
          <w:tcPr>
            <w:tcW w:w="850" w:type="dxa"/>
            <w:tcBorders>
              <w:top w:val="nil"/>
              <w:left w:val="nil"/>
              <w:bottom w:val="single" w:sz="8" w:space="0" w:color="auto"/>
              <w:right w:val="single" w:sz="8" w:space="0" w:color="auto"/>
            </w:tcBorders>
            <w:shd w:val="clear" w:color="auto" w:fill="auto"/>
            <w:vAlign w:val="center"/>
            <w:hideMark/>
          </w:tcPr>
          <w:p w14:paraId="40451F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170D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DEA11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Komisje i zespoły spisowe.</w:t>
            </w:r>
          </w:p>
        </w:tc>
        <w:tc>
          <w:tcPr>
            <w:tcW w:w="850" w:type="dxa"/>
            <w:tcBorders>
              <w:top w:val="nil"/>
              <w:left w:val="nil"/>
              <w:bottom w:val="single" w:sz="8" w:space="0" w:color="auto"/>
              <w:right w:val="single" w:sz="8" w:space="0" w:color="auto"/>
            </w:tcBorders>
            <w:shd w:val="clear" w:color="auto" w:fill="auto"/>
            <w:vAlign w:val="center"/>
            <w:hideMark/>
          </w:tcPr>
          <w:p w14:paraId="0BD64B6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FD29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7FF0B6"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INDEKSY MAGAZYNOWE</w:t>
            </w:r>
          </w:p>
        </w:tc>
        <w:tc>
          <w:tcPr>
            <w:tcW w:w="850" w:type="dxa"/>
            <w:tcBorders>
              <w:top w:val="nil"/>
              <w:left w:val="nil"/>
              <w:bottom w:val="single" w:sz="8" w:space="0" w:color="auto"/>
              <w:right w:val="single" w:sz="8" w:space="0" w:color="auto"/>
            </w:tcBorders>
            <w:shd w:val="clear" w:color="000000" w:fill="A6A6A6"/>
            <w:vAlign w:val="center"/>
            <w:hideMark/>
          </w:tcPr>
          <w:p w14:paraId="694235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9D5FA9D" w14:textId="77777777" w:rsidTr="00B97E7A">
        <w:trPr>
          <w:trHeight w:val="33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4020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Możliwość zdefiniowania indeksów materiałów i usług wraz z następującymi informacjami:</w:t>
            </w:r>
            <w:r w:rsidRPr="00B97E7A">
              <w:rPr>
                <w:rFonts w:ascii="Times New Roman" w:eastAsia="Times New Roman" w:hAnsi="Times New Roman" w:cs="Times New Roman"/>
                <w:kern w:val="0"/>
                <w:sz w:val="28"/>
                <w:szCs w:val="28"/>
                <w:lang w:eastAsia="pl-PL"/>
                <w14:ligatures w14:val="none"/>
              </w:rPr>
              <w:br/>
              <w:t>1.1. nazwa pełna i skrócona materiału lub towaru,</w:t>
            </w:r>
            <w:r w:rsidRPr="00B97E7A">
              <w:rPr>
                <w:rFonts w:ascii="Times New Roman" w:eastAsia="Times New Roman" w:hAnsi="Times New Roman" w:cs="Times New Roman"/>
                <w:kern w:val="0"/>
                <w:sz w:val="28"/>
                <w:szCs w:val="28"/>
                <w:lang w:eastAsia="pl-PL"/>
                <w14:ligatures w14:val="none"/>
              </w:rPr>
              <w:br/>
              <w:t>1.2. jednostka miary (wybór ze słownika),</w:t>
            </w:r>
            <w:r w:rsidRPr="00B97E7A">
              <w:rPr>
                <w:rFonts w:ascii="Times New Roman" w:eastAsia="Times New Roman" w:hAnsi="Times New Roman" w:cs="Times New Roman"/>
                <w:kern w:val="0"/>
                <w:sz w:val="28"/>
                <w:szCs w:val="28"/>
                <w:lang w:eastAsia="pl-PL"/>
                <w14:ligatures w14:val="none"/>
              </w:rPr>
              <w:br/>
              <w:t>1.3. ilość w opakowaniu,</w:t>
            </w:r>
            <w:r w:rsidRPr="00B97E7A">
              <w:rPr>
                <w:rFonts w:ascii="Times New Roman" w:eastAsia="Times New Roman" w:hAnsi="Times New Roman" w:cs="Times New Roman"/>
                <w:kern w:val="0"/>
                <w:sz w:val="28"/>
                <w:szCs w:val="28"/>
                <w:lang w:eastAsia="pl-PL"/>
                <w14:ligatures w14:val="none"/>
              </w:rPr>
              <w:br/>
              <w:t>1.4. symbol indeksu materiału,</w:t>
            </w:r>
            <w:r w:rsidRPr="00B97E7A">
              <w:rPr>
                <w:rFonts w:ascii="Times New Roman" w:eastAsia="Times New Roman" w:hAnsi="Times New Roman" w:cs="Times New Roman"/>
                <w:kern w:val="0"/>
                <w:sz w:val="28"/>
                <w:szCs w:val="28"/>
                <w:lang w:eastAsia="pl-PL"/>
                <w14:ligatures w14:val="none"/>
              </w:rPr>
              <w:br/>
              <w:t>1.5. grupa magazynowa (wybór ze słownika),</w:t>
            </w:r>
            <w:r w:rsidRPr="00B97E7A">
              <w:rPr>
                <w:rFonts w:ascii="Times New Roman" w:eastAsia="Times New Roman" w:hAnsi="Times New Roman" w:cs="Times New Roman"/>
                <w:kern w:val="0"/>
                <w:sz w:val="28"/>
                <w:szCs w:val="28"/>
                <w:lang w:eastAsia="pl-PL"/>
                <w14:ligatures w14:val="none"/>
              </w:rPr>
              <w:br/>
              <w:t>1.6. cena jednostkowa,</w:t>
            </w:r>
            <w:r w:rsidRPr="00B97E7A">
              <w:rPr>
                <w:rFonts w:ascii="Times New Roman" w:eastAsia="Times New Roman" w:hAnsi="Times New Roman" w:cs="Times New Roman"/>
                <w:kern w:val="0"/>
                <w:sz w:val="28"/>
                <w:szCs w:val="28"/>
                <w:lang w:eastAsia="pl-PL"/>
                <w14:ligatures w14:val="none"/>
              </w:rPr>
              <w:br/>
              <w:t>1.7. opis.</w:t>
            </w:r>
          </w:p>
        </w:tc>
        <w:tc>
          <w:tcPr>
            <w:tcW w:w="850" w:type="dxa"/>
            <w:tcBorders>
              <w:top w:val="nil"/>
              <w:left w:val="nil"/>
              <w:bottom w:val="single" w:sz="8" w:space="0" w:color="auto"/>
              <w:right w:val="single" w:sz="8" w:space="0" w:color="auto"/>
            </w:tcBorders>
            <w:shd w:val="clear" w:color="auto" w:fill="auto"/>
            <w:vAlign w:val="center"/>
            <w:hideMark/>
          </w:tcPr>
          <w:p w14:paraId="79270A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E7EEE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FC56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tworzenia nowego indeksu z wykorzystaniem automatycznych podpowiedzi pozycji z przypisanych do członów indeksu słowników oraz podpowiedzi wolnego numeru gdy słownik nie jest wykorzystywany.</w:t>
            </w:r>
          </w:p>
        </w:tc>
        <w:tc>
          <w:tcPr>
            <w:tcW w:w="850" w:type="dxa"/>
            <w:tcBorders>
              <w:top w:val="nil"/>
              <w:left w:val="nil"/>
              <w:bottom w:val="single" w:sz="8" w:space="0" w:color="auto"/>
              <w:right w:val="single" w:sz="8" w:space="0" w:color="auto"/>
            </w:tcBorders>
            <w:shd w:val="clear" w:color="auto" w:fill="auto"/>
            <w:vAlign w:val="center"/>
            <w:hideMark/>
          </w:tcPr>
          <w:p w14:paraId="7B8B0F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C11DA1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C5BA2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tworzenia numeracji indeksów według własnych słowników (słownik i numerator syntetyk grup materiałowych).</w:t>
            </w:r>
          </w:p>
        </w:tc>
        <w:tc>
          <w:tcPr>
            <w:tcW w:w="850" w:type="dxa"/>
            <w:tcBorders>
              <w:top w:val="nil"/>
              <w:left w:val="nil"/>
              <w:bottom w:val="single" w:sz="8" w:space="0" w:color="auto"/>
              <w:right w:val="single" w:sz="8" w:space="0" w:color="auto"/>
            </w:tcBorders>
            <w:shd w:val="clear" w:color="auto" w:fill="auto"/>
            <w:vAlign w:val="center"/>
            <w:hideMark/>
          </w:tcPr>
          <w:p w14:paraId="48839C5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79E28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E7D9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dołączenia dowolnego załącznika (np. zdjęcia lub rysunku pozycji asortymentu, karty charakterystyki) do indeksu.</w:t>
            </w:r>
          </w:p>
        </w:tc>
        <w:tc>
          <w:tcPr>
            <w:tcW w:w="850" w:type="dxa"/>
            <w:tcBorders>
              <w:top w:val="nil"/>
              <w:left w:val="nil"/>
              <w:bottom w:val="single" w:sz="8" w:space="0" w:color="auto"/>
              <w:right w:val="single" w:sz="8" w:space="0" w:color="auto"/>
            </w:tcBorders>
            <w:shd w:val="clear" w:color="auto" w:fill="auto"/>
            <w:vAlign w:val="center"/>
            <w:hideMark/>
          </w:tcPr>
          <w:p w14:paraId="008752A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05BF3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F40811"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INWENTARYZACJA</w:t>
            </w:r>
          </w:p>
        </w:tc>
        <w:tc>
          <w:tcPr>
            <w:tcW w:w="850" w:type="dxa"/>
            <w:tcBorders>
              <w:top w:val="nil"/>
              <w:left w:val="nil"/>
              <w:bottom w:val="single" w:sz="8" w:space="0" w:color="auto"/>
              <w:right w:val="single" w:sz="8" w:space="0" w:color="auto"/>
            </w:tcBorders>
            <w:shd w:val="clear" w:color="000000" w:fill="A6A6A6"/>
            <w:vAlign w:val="center"/>
            <w:hideMark/>
          </w:tcPr>
          <w:p w14:paraId="44E674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3F6FA6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8696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Definiowanie zakresu/obszaru inwentaryzacji.</w:t>
            </w:r>
          </w:p>
        </w:tc>
        <w:tc>
          <w:tcPr>
            <w:tcW w:w="850" w:type="dxa"/>
            <w:tcBorders>
              <w:top w:val="nil"/>
              <w:left w:val="nil"/>
              <w:bottom w:val="single" w:sz="8" w:space="0" w:color="auto"/>
              <w:right w:val="single" w:sz="8" w:space="0" w:color="auto"/>
            </w:tcBorders>
            <w:shd w:val="clear" w:color="auto" w:fill="auto"/>
            <w:vAlign w:val="center"/>
            <w:hideMark/>
          </w:tcPr>
          <w:p w14:paraId="193A12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835EE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F220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Drukowanie czystych arkuszy spisowych.</w:t>
            </w:r>
          </w:p>
        </w:tc>
        <w:tc>
          <w:tcPr>
            <w:tcW w:w="850" w:type="dxa"/>
            <w:tcBorders>
              <w:top w:val="nil"/>
              <w:left w:val="nil"/>
              <w:bottom w:val="single" w:sz="8" w:space="0" w:color="auto"/>
              <w:right w:val="single" w:sz="8" w:space="0" w:color="auto"/>
            </w:tcBorders>
            <w:shd w:val="clear" w:color="auto" w:fill="auto"/>
            <w:vAlign w:val="center"/>
            <w:hideMark/>
          </w:tcPr>
          <w:p w14:paraId="27CB62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C2F43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DB862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Wprowadzanie z arkuszy spisowych danych i automatyczne wyliczenie różnic wynikających ze spisu z natury.</w:t>
            </w:r>
          </w:p>
        </w:tc>
        <w:tc>
          <w:tcPr>
            <w:tcW w:w="850" w:type="dxa"/>
            <w:tcBorders>
              <w:top w:val="nil"/>
              <w:left w:val="nil"/>
              <w:bottom w:val="single" w:sz="8" w:space="0" w:color="auto"/>
              <w:right w:val="single" w:sz="8" w:space="0" w:color="auto"/>
            </w:tcBorders>
            <w:shd w:val="clear" w:color="auto" w:fill="auto"/>
            <w:vAlign w:val="center"/>
            <w:hideMark/>
          </w:tcPr>
          <w:p w14:paraId="22B54F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891AD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20AB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Drukowanie zestawienia różnic po wprowadzeniu wyników inwentaryzacji.</w:t>
            </w:r>
          </w:p>
        </w:tc>
        <w:tc>
          <w:tcPr>
            <w:tcW w:w="850" w:type="dxa"/>
            <w:tcBorders>
              <w:top w:val="nil"/>
              <w:left w:val="nil"/>
              <w:bottom w:val="single" w:sz="8" w:space="0" w:color="auto"/>
              <w:right w:val="single" w:sz="8" w:space="0" w:color="auto"/>
            </w:tcBorders>
            <w:shd w:val="clear" w:color="auto" w:fill="auto"/>
            <w:vAlign w:val="center"/>
            <w:hideMark/>
          </w:tcPr>
          <w:p w14:paraId="6A667AF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763B5E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D7AF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Zatwierdzenie inwentaryzacji.</w:t>
            </w:r>
          </w:p>
        </w:tc>
        <w:tc>
          <w:tcPr>
            <w:tcW w:w="850" w:type="dxa"/>
            <w:tcBorders>
              <w:top w:val="nil"/>
              <w:left w:val="nil"/>
              <w:bottom w:val="single" w:sz="8" w:space="0" w:color="auto"/>
              <w:right w:val="single" w:sz="8" w:space="0" w:color="auto"/>
            </w:tcBorders>
            <w:shd w:val="clear" w:color="auto" w:fill="auto"/>
            <w:vAlign w:val="center"/>
            <w:hideMark/>
          </w:tcPr>
          <w:p w14:paraId="7379815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AF3B5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4559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Obsługa inwentaryzacji częściowej.</w:t>
            </w:r>
          </w:p>
        </w:tc>
        <w:tc>
          <w:tcPr>
            <w:tcW w:w="850" w:type="dxa"/>
            <w:tcBorders>
              <w:top w:val="nil"/>
              <w:left w:val="nil"/>
              <w:bottom w:val="single" w:sz="8" w:space="0" w:color="auto"/>
              <w:right w:val="single" w:sz="8" w:space="0" w:color="auto"/>
            </w:tcBorders>
            <w:shd w:val="clear" w:color="auto" w:fill="auto"/>
            <w:vAlign w:val="center"/>
            <w:hideMark/>
          </w:tcPr>
          <w:p w14:paraId="6A863D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86236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744B2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Obsługa inwentaryzacji ciągłej.</w:t>
            </w:r>
          </w:p>
        </w:tc>
        <w:tc>
          <w:tcPr>
            <w:tcW w:w="850" w:type="dxa"/>
            <w:tcBorders>
              <w:top w:val="nil"/>
              <w:left w:val="nil"/>
              <w:bottom w:val="single" w:sz="8" w:space="0" w:color="auto"/>
              <w:right w:val="single" w:sz="8" w:space="0" w:color="auto"/>
            </w:tcBorders>
            <w:shd w:val="clear" w:color="auto" w:fill="auto"/>
            <w:vAlign w:val="center"/>
            <w:hideMark/>
          </w:tcPr>
          <w:p w14:paraId="3273AB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2728E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0966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Rejestracja przeprowadzonych inwentaryzacji.</w:t>
            </w:r>
          </w:p>
        </w:tc>
        <w:tc>
          <w:tcPr>
            <w:tcW w:w="850" w:type="dxa"/>
            <w:tcBorders>
              <w:top w:val="nil"/>
              <w:left w:val="nil"/>
              <w:bottom w:val="single" w:sz="8" w:space="0" w:color="auto"/>
              <w:right w:val="single" w:sz="8" w:space="0" w:color="auto"/>
            </w:tcBorders>
            <w:shd w:val="clear" w:color="auto" w:fill="auto"/>
            <w:vAlign w:val="center"/>
            <w:hideMark/>
          </w:tcPr>
          <w:p w14:paraId="2EBDC47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EFFB7E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5902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Automatyczne księgowanie różnic inwentaryzacyjnych.</w:t>
            </w:r>
          </w:p>
        </w:tc>
        <w:tc>
          <w:tcPr>
            <w:tcW w:w="850" w:type="dxa"/>
            <w:tcBorders>
              <w:top w:val="nil"/>
              <w:left w:val="nil"/>
              <w:bottom w:val="single" w:sz="8" w:space="0" w:color="auto"/>
              <w:right w:val="single" w:sz="8" w:space="0" w:color="auto"/>
            </w:tcBorders>
            <w:shd w:val="clear" w:color="auto" w:fill="auto"/>
            <w:vAlign w:val="center"/>
            <w:hideMark/>
          </w:tcPr>
          <w:p w14:paraId="6FC8A2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0644D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40024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 Generowanie dokumentów inwentaryzacyjnych, tj. arkusze do spisu, arkusz wyceniony, zestawienie zbiorcze, zestawienie różnic.</w:t>
            </w:r>
          </w:p>
        </w:tc>
        <w:tc>
          <w:tcPr>
            <w:tcW w:w="850" w:type="dxa"/>
            <w:tcBorders>
              <w:top w:val="nil"/>
              <w:left w:val="nil"/>
              <w:bottom w:val="single" w:sz="8" w:space="0" w:color="auto"/>
              <w:right w:val="single" w:sz="8" w:space="0" w:color="auto"/>
            </w:tcBorders>
            <w:shd w:val="clear" w:color="auto" w:fill="auto"/>
            <w:vAlign w:val="center"/>
            <w:hideMark/>
          </w:tcPr>
          <w:p w14:paraId="39A4F9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90926E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8B52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przeprowadzenia inwentaryzacji na urządzeniach mobilnych:</w:t>
            </w:r>
          </w:p>
        </w:tc>
        <w:tc>
          <w:tcPr>
            <w:tcW w:w="850" w:type="dxa"/>
            <w:tcBorders>
              <w:top w:val="nil"/>
              <w:left w:val="nil"/>
              <w:bottom w:val="single" w:sz="8" w:space="0" w:color="auto"/>
              <w:right w:val="single" w:sz="8" w:space="0" w:color="auto"/>
            </w:tcBorders>
            <w:shd w:val="clear" w:color="000000" w:fill="A6A6A6"/>
            <w:vAlign w:val="center"/>
            <w:hideMark/>
          </w:tcPr>
          <w:p w14:paraId="0BD9AE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70BE0A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26CFD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Pobieranie ze stacjonarnego systemu danych dotyczących arkuszy inwentaryzacyjnych,</w:t>
            </w:r>
          </w:p>
        </w:tc>
        <w:tc>
          <w:tcPr>
            <w:tcW w:w="850" w:type="dxa"/>
            <w:tcBorders>
              <w:top w:val="nil"/>
              <w:left w:val="nil"/>
              <w:bottom w:val="single" w:sz="8" w:space="0" w:color="auto"/>
              <w:right w:val="single" w:sz="8" w:space="0" w:color="auto"/>
            </w:tcBorders>
            <w:shd w:val="clear" w:color="auto" w:fill="auto"/>
            <w:vAlign w:val="center"/>
            <w:hideMark/>
          </w:tcPr>
          <w:p w14:paraId="7F00A6C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314AE5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B78E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Rejestracja asortymentów z użyciem czytnika kodów kreskowych, kodów QR,</w:t>
            </w:r>
          </w:p>
        </w:tc>
        <w:tc>
          <w:tcPr>
            <w:tcW w:w="850" w:type="dxa"/>
            <w:tcBorders>
              <w:top w:val="nil"/>
              <w:left w:val="nil"/>
              <w:bottom w:val="single" w:sz="8" w:space="0" w:color="auto"/>
              <w:right w:val="single" w:sz="8" w:space="0" w:color="auto"/>
            </w:tcBorders>
            <w:shd w:val="clear" w:color="auto" w:fill="auto"/>
            <w:vAlign w:val="center"/>
            <w:hideMark/>
          </w:tcPr>
          <w:p w14:paraId="05D2CD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9CD683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70949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Podział pracy pomiędzy dowolną liczbą operatorów, wyposażonych w urządzenia mobilne,</w:t>
            </w:r>
          </w:p>
        </w:tc>
        <w:tc>
          <w:tcPr>
            <w:tcW w:w="850" w:type="dxa"/>
            <w:tcBorders>
              <w:top w:val="nil"/>
              <w:left w:val="nil"/>
              <w:bottom w:val="single" w:sz="8" w:space="0" w:color="auto"/>
              <w:right w:val="single" w:sz="8" w:space="0" w:color="auto"/>
            </w:tcBorders>
            <w:shd w:val="clear" w:color="auto" w:fill="auto"/>
            <w:vAlign w:val="center"/>
            <w:hideMark/>
          </w:tcPr>
          <w:p w14:paraId="390181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98308A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24CB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Zwrotne przekazywanie wypełnionych arkuszy do systemu stacjonarnego.</w:t>
            </w:r>
          </w:p>
        </w:tc>
        <w:tc>
          <w:tcPr>
            <w:tcW w:w="850" w:type="dxa"/>
            <w:tcBorders>
              <w:top w:val="nil"/>
              <w:left w:val="nil"/>
              <w:bottom w:val="single" w:sz="8" w:space="0" w:color="auto"/>
              <w:right w:val="single" w:sz="8" w:space="0" w:color="auto"/>
            </w:tcBorders>
            <w:shd w:val="clear" w:color="auto" w:fill="auto"/>
            <w:vAlign w:val="center"/>
            <w:hideMark/>
          </w:tcPr>
          <w:p w14:paraId="26A455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2C4DCF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F098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Pełne rozliczenie inwentaryzacji, protokoły poinwentaryzacyjne.</w:t>
            </w:r>
          </w:p>
        </w:tc>
        <w:tc>
          <w:tcPr>
            <w:tcW w:w="850" w:type="dxa"/>
            <w:tcBorders>
              <w:top w:val="nil"/>
              <w:left w:val="nil"/>
              <w:bottom w:val="single" w:sz="8" w:space="0" w:color="auto"/>
              <w:right w:val="single" w:sz="8" w:space="0" w:color="auto"/>
            </w:tcBorders>
            <w:shd w:val="clear" w:color="auto" w:fill="auto"/>
            <w:vAlign w:val="center"/>
            <w:hideMark/>
          </w:tcPr>
          <w:p w14:paraId="63230D5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BE399B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5EC0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przeprowadzenia i rozliczenia inwentaryzacji wyposażenia w użytkowaniu.</w:t>
            </w:r>
          </w:p>
        </w:tc>
        <w:tc>
          <w:tcPr>
            <w:tcW w:w="850" w:type="dxa"/>
            <w:tcBorders>
              <w:top w:val="nil"/>
              <w:left w:val="nil"/>
              <w:bottom w:val="single" w:sz="8" w:space="0" w:color="auto"/>
              <w:right w:val="single" w:sz="8" w:space="0" w:color="auto"/>
            </w:tcBorders>
            <w:shd w:val="clear" w:color="auto" w:fill="auto"/>
            <w:vAlign w:val="center"/>
            <w:hideMark/>
          </w:tcPr>
          <w:p w14:paraId="7F188C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CF28A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8C18A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ROZLICZENIE, KSIĘGOWANIE</w:t>
            </w:r>
          </w:p>
        </w:tc>
        <w:tc>
          <w:tcPr>
            <w:tcW w:w="850" w:type="dxa"/>
            <w:tcBorders>
              <w:top w:val="nil"/>
              <w:left w:val="nil"/>
              <w:bottom w:val="single" w:sz="8" w:space="0" w:color="auto"/>
              <w:right w:val="single" w:sz="8" w:space="0" w:color="auto"/>
            </w:tcBorders>
            <w:shd w:val="clear" w:color="000000" w:fill="A6A6A6"/>
            <w:vAlign w:val="center"/>
            <w:hideMark/>
          </w:tcPr>
          <w:p w14:paraId="3A9ABA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E65105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AC0F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 Możliwość generowania dokumentów PK z dokumentów magazynowych w określonym zakresie dat, numerów, wybranych magazynów. </w:t>
            </w:r>
          </w:p>
        </w:tc>
        <w:tc>
          <w:tcPr>
            <w:tcW w:w="850" w:type="dxa"/>
            <w:tcBorders>
              <w:top w:val="nil"/>
              <w:left w:val="nil"/>
              <w:bottom w:val="single" w:sz="8" w:space="0" w:color="auto"/>
              <w:right w:val="single" w:sz="8" w:space="0" w:color="auto"/>
            </w:tcBorders>
            <w:shd w:val="clear" w:color="auto" w:fill="auto"/>
            <w:vAlign w:val="center"/>
            <w:hideMark/>
          </w:tcPr>
          <w:p w14:paraId="66D4023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7B792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3144E2"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ZESTAWIENIA, ANALIZY, RAPORTY</w:t>
            </w:r>
          </w:p>
        </w:tc>
        <w:tc>
          <w:tcPr>
            <w:tcW w:w="850" w:type="dxa"/>
            <w:tcBorders>
              <w:top w:val="nil"/>
              <w:left w:val="nil"/>
              <w:bottom w:val="single" w:sz="8" w:space="0" w:color="auto"/>
              <w:right w:val="single" w:sz="8" w:space="0" w:color="auto"/>
            </w:tcBorders>
            <w:shd w:val="clear" w:color="000000" w:fill="A6A6A6"/>
            <w:vAlign w:val="center"/>
            <w:hideMark/>
          </w:tcPr>
          <w:p w14:paraId="1B2C53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50F16F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E3E66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Zestawienia/raporty stanów zapasów.</w:t>
            </w:r>
          </w:p>
        </w:tc>
        <w:tc>
          <w:tcPr>
            <w:tcW w:w="850" w:type="dxa"/>
            <w:tcBorders>
              <w:top w:val="nil"/>
              <w:left w:val="nil"/>
              <w:bottom w:val="single" w:sz="8" w:space="0" w:color="auto"/>
              <w:right w:val="single" w:sz="8" w:space="0" w:color="auto"/>
            </w:tcBorders>
            <w:shd w:val="clear" w:color="auto" w:fill="auto"/>
            <w:vAlign w:val="center"/>
            <w:hideMark/>
          </w:tcPr>
          <w:p w14:paraId="0F0A9B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31024B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F01A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Raporty stanu magazynu.</w:t>
            </w:r>
          </w:p>
        </w:tc>
        <w:tc>
          <w:tcPr>
            <w:tcW w:w="850" w:type="dxa"/>
            <w:tcBorders>
              <w:top w:val="nil"/>
              <w:left w:val="nil"/>
              <w:bottom w:val="single" w:sz="8" w:space="0" w:color="auto"/>
              <w:right w:val="single" w:sz="8" w:space="0" w:color="auto"/>
            </w:tcBorders>
            <w:shd w:val="clear" w:color="auto" w:fill="auto"/>
            <w:vAlign w:val="center"/>
            <w:hideMark/>
          </w:tcPr>
          <w:p w14:paraId="6C292F8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D1FCA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5CFA1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Generowanie i wydruk zestawień materiałów wg indeksów materiałowych, nazwy.</w:t>
            </w:r>
          </w:p>
        </w:tc>
        <w:tc>
          <w:tcPr>
            <w:tcW w:w="850" w:type="dxa"/>
            <w:tcBorders>
              <w:top w:val="nil"/>
              <w:left w:val="nil"/>
              <w:bottom w:val="single" w:sz="8" w:space="0" w:color="auto"/>
              <w:right w:val="single" w:sz="8" w:space="0" w:color="auto"/>
            </w:tcBorders>
            <w:shd w:val="clear" w:color="auto" w:fill="auto"/>
            <w:vAlign w:val="center"/>
            <w:hideMark/>
          </w:tcPr>
          <w:p w14:paraId="12F3F38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75654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D643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generowania raportów w dowolnym układzie, tj. możliwość konfiguracji raportów z uwzględnieniem niezbędnych danych.</w:t>
            </w:r>
          </w:p>
        </w:tc>
        <w:tc>
          <w:tcPr>
            <w:tcW w:w="850" w:type="dxa"/>
            <w:tcBorders>
              <w:top w:val="nil"/>
              <w:left w:val="nil"/>
              <w:bottom w:val="single" w:sz="8" w:space="0" w:color="auto"/>
              <w:right w:val="single" w:sz="8" w:space="0" w:color="auto"/>
            </w:tcBorders>
            <w:shd w:val="clear" w:color="auto" w:fill="auto"/>
            <w:vAlign w:val="center"/>
            <w:hideMark/>
          </w:tcPr>
          <w:p w14:paraId="4BDAD0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6699D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BBFA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Obroty magazynowe analityczne (wraz z dokumentami) od-do.</w:t>
            </w:r>
          </w:p>
        </w:tc>
        <w:tc>
          <w:tcPr>
            <w:tcW w:w="850" w:type="dxa"/>
            <w:tcBorders>
              <w:top w:val="nil"/>
              <w:left w:val="nil"/>
              <w:bottom w:val="single" w:sz="8" w:space="0" w:color="auto"/>
              <w:right w:val="single" w:sz="8" w:space="0" w:color="auto"/>
            </w:tcBorders>
            <w:shd w:val="clear" w:color="auto" w:fill="auto"/>
            <w:vAlign w:val="center"/>
            <w:hideMark/>
          </w:tcPr>
          <w:p w14:paraId="347ACF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5531C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B8EB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Eksport danych ze zdefiniowanych wstępnie lub zdefiniowanych przez użytkownika raportów/zestawień do innych aplikacji (MS Excel, MS Word, PDF).</w:t>
            </w:r>
          </w:p>
        </w:tc>
        <w:tc>
          <w:tcPr>
            <w:tcW w:w="850" w:type="dxa"/>
            <w:tcBorders>
              <w:top w:val="nil"/>
              <w:left w:val="nil"/>
              <w:bottom w:val="single" w:sz="8" w:space="0" w:color="auto"/>
              <w:right w:val="single" w:sz="8" w:space="0" w:color="auto"/>
            </w:tcBorders>
            <w:shd w:val="clear" w:color="auto" w:fill="auto"/>
            <w:vAlign w:val="center"/>
            <w:hideMark/>
          </w:tcPr>
          <w:p w14:paraId="5D3654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F60B10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6399B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7. Możliwość wyszukiwania bez rozróżniania wielkich i małych liter oraz z pomijaniem znaków specjalnych.</w:t>
            </w:r>
          </w:p>
        </w:tc>
        <w:tc>
          <w:tcPr>
            <w:tcW w:w="850" w:type="dxa"/>
            <w:tcBorders>
              <w:top w:val="nil"/>
              <w:left w:val="nil"/>
              <w:bottom w:val="single" w:sz="8" w:space="0" w:color="auto"/>
              <w:right w:val="single" w:sz="8" w:space="0" w:color="auto"/>
            </w:tcBorders>
            <w:shd w:val="clear" w:color="auto" w:fill="auto"/>
            <w:vAlign w:val="center"/>
            <w:hideMark/>
          </w:tcPr>
          <w:p w14:paraId="530D46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47C1E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73717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G. PREDEFINIOWANE SZABLONY WYDRUKÓW</w:t>
            </w:r>
          </w:p>
        </w:tc>
        <w:tc>
          <w:tcPr>
            <w:tcW w:w="850" w:type="dxa"/>
            <w:tcBorders>
              <w:top w:val="nil"/>
              <w:left w:val="nil"/>
              <w:bottom w:val="single" w:sz="8" w:space="0" w:color="auto"/>
              <w:right w:val="single" w:sz="8" w:space="0" w:color="auto"/>
            </w:tcBorders>
            <w:shd w:val="clear" w:color="000000" w:fill="A6A6A6"/>
            <w:vAlign w:val="center"/>
            <w:hideMark/>
          </w:tcPr>
          <w:p w14:paraId="16D4D6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9197D02" w14:textId="77777777" w:rsidTr="00B97E7A">
        <w:trPr>
          <w:trHeight w:val="5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E7BF8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Obroty magazynowe za okres (szablon wydruku):</w:t>
            </w:r>
            <w:r w:rsidRPr="00B97E7A">
              <w:rPr>
                <w:rFonts w:ascii="Times New Roman" w:eastAsia="Times New Roman" w:hAnsi="Times New Roman" w:cs="Times New Roman"/>
                <w:kern w:val="0"/>
                <w:sz w:val="28"/>
                <w:szCs w:val="28"/>
                <w:lang w:eastAsia="pl-PL"/>
                <w14:ligatures w14:val="none"/>
              </w:rPr>
              <w:br/>
              <w:t>1.1. magazyny od-do,</w:t>
            </w:r>
            <w:r w:rsidRPr="00B97E7A">
              <w:rPr>
                <w:rFonts w:ascii="Times New Roman" w:eastAsia="Times New Roman" w:hAnsi="Times New Roman" w:cs="Times New Roman"/>
                <w:kern w:val="0"/>
                <w:sz w:val="28"/>
                <w:szCs w:val="28"/>
                <w:lang w:eastAsia="pl-PL"/>
                <w14:ligatures w14:val="none"/>
              </w:rPr>
              <w:br/>
              <w:t>1.2. indeks od-do,</w:t>
            </w:r>
            <w:r w:rsidRPr="00B97E7A">
              <w:rPr>
                <w:rFonts w:ascii="Times New Roman" w:eastAsia="Times New Roman" w:hAnsi="Times New Roman" w:cs="Times New Roman"/>
                <w:kern w:val="0"/>
                <w:sz w:val="28"/>
                <w:szCs w:val="28"/>
                <w:lang w:eastAsia="pl-PL"/>
                <w14:ligatures w14:val="none"/>
              </w:rPr>
              <w:br/>
              <w:t>1.3. miesiąc od-do,</w:t>
            </w:r>
            <w:r w:rsidRPr="00B97E7A">
              <w:rPr>
                <w:rFonts w:ascii="Times New Roman" w:eastAsia="Times New Roman" w:hAnsi="Times New Roman" w:cs="Times New Roman"/>
                <w:kern w:val="0"/>
                <w:sz w:val="28"/>
                <w:szCs w:val="28"/>
                <w:lang w:eastAsia="pl-PL"/>
                <w14:ligatures w14:val="none"/>
              </w:rPr>
              <w:br/>
              <w:t>1.4. rodzaj wydruku: szczegóły/podsumowanie,</w:t>
            </w:r>
            <w:r w:rsidRPr="00B97E7A">
              <w:rPr>
                <w:rFonts w:ascii="Times New Roman" w:eastAsia="Times New Roman" w:hAnsi="Times New Roman" w:cs="Times New Roman"/>
                <w:kern w:val="0"/>
                <w:sz w:val="28"/>
                <w:szCs w:val="28"/>
                <w:lang w:eastAsia="pl-PL"/>
                <w14:ligatures w14:val="none"/>
              </w:rPr>
              <w:br/>
              <w:t>1.5. grupowanie wg: indeks/magazyn,</w:t>
            </w:r>
            <w:r w:rsidRPr="00B97E7A">
              <w:rPr>
                <w:rFonts w:ascii="Times New Roman" w:eastAsia="Times New Roman" w:hAnsi="Times New Roman" w:cs="Times New Roman"/>
                <w:kern w:val="0"/>
                <w:sz w:val="28"/>
                <w:szCs w:val="28"/>
                <w:lang w:eastAsia="pl-PL"/>
                <w14:ligatures w14:val="none"/>
              </w:rPr>
              <w:br/>
              <w:t>1.6. sortowanie wg: indeks/nazwa,</w:t>
            </w:r>
            <w:r w:rsidRPr="00B97E7A">
              <w:rPr>
                <w:rFonts w:ascii="Times New Roman" w:eastAsia="Times New Roman" w:hAnsi="Times New Roman" w:cs="Times New Roman"/>
                <w:kern w:val="0"/>
                <w:sz w:val="28"/>
                <w:szCs w:val="28"/>
                <w:lang w:eastAsia="pl-PL"/>
                <w14:ligatures w14:val="none"/>
              </w:rPr>
              <w:br/>
              <w:t>1.7. dostępne pola wyboru:</w:t>
            </w:r>
            <w:r w:rsidRPr="00B97E7A">
              <w:rPr>
                <w:rFonts w:ascii="Times New Roman" w:eastAsia="Times New Roman" w:hAnsi="Times New Roman" w:cs="Times New Roman"/>
                <w:kern w:val="0"/>
                <w:sz w:val="28"/>
                <w:szCs w:val="28"/>
                <w:lang w:eastAsia="pl-PL"/>
                <w14:ligatures w14:val="none"/>
              </w:rPr>
              <w:br/>
              <w:t>1.7.1. drukuj z dostaw i na zużycie (pole przychodu podzielone na: przychody razem i przychody tylko z dostaw; pole rozchody podzielone na: rozchody razem i rozchody na zużycie (koszty),</w:t>
            </w:r>
            <w:r w:rsidRPr="00B97E7A">
              <w:rPr>
                <w:rFonts w:ascii="Times New Roman" w:eastAsia="Times New Roman" w:hAnsi="Times New Roman" w:cs="Times New Roman"/>
                <w:kern w:val="0"/>
                <w:sz w:val="28"/>
                <w:szCs w:val="28"/>
                <w:lang w:eastAsia="pl-PL"/>
                <w14:ligatures w14:val="none"/>
              </w:rPr>
              <w:br/>
              <w:t>1.7.2. wydruk w układzie: wartość/ilość i wartość,</w:t>
            </w:r>
            <w:r w:rsidRPr="00B97E7A">
              <w:rPr>
                <w:rFonts w:ascii="Times New Roman" w:eastAsia="Times New Roman" w:hAnsi="Times New Roman" w:cs="Times New Roman"/>
                <w:kern w:val="0"/>
                <w:sz w:val="28"/>
                <w:szCs w:val="28"/>
                <w:lang w:eastAsia="pl-PL"/>
                <w14:ligatures w14:val="none"/>
              </w:rPr>
              <w:br/>
              <w:t>1.7.3. podsumowanie gałęzi indeksów,</w:t>
            </w:r>
            <w:r w:rsidRPr="00B97E7A">
              <w:rPr>
                <w:rFonts w:ascii="Times New Roman" w:eastAsia="Times New Roman" w:hAnsi="Times New Roman" w:cs="Times New Roman"/>
                <w:kern w:val="0"/>
                <w:sz w:val="28"/>
                <w:szCs w:val="28"/>
                <w:lang w:eastAsia="pl-PL"/>
                <w14:ligatures w14:val="none"/>
              </w:rPr>
              <w:br/>
              <w:t>1.7.4. drukuj pozycje zerowe.</w:t>
            </w:r>
          </w:p>
        </w:tc>
        <w:tc>
          <w:tcPr>
            <w:tcW w:w="850" w:type="dxa"/>
            <w:tcBorders>
              <w:top w:val="nil"/>
              <w:left w:val="nil"/>
              <w:bottom w:val="single" w:sz="8" w:space="0" w:color="auto"/>
              <w:right w:val="single" w:sz="8" w:space="0" w:color="auto"/>
            </w:tcBorders>
            <w:shd w:val="clear" w:color="auto" w:fill="auto"/>
            <w:vAlign w:val="center"/>
            <w:hideMark/>
          </w:tcPr>
          <w:p w14:paraId="52AA44A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D3D754"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DD9F9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Wydruk zalegających materiałów (szablon wydruku):</w:t>
            </w:r>
            <w:r w:rsidRPr="00B97E7A">
              <w:rPr>
                <w:rFonts w:ascii="Times New Roman" w:eastAsia="Times New Roman" w:hAnsi="Times New Roman" w:cs="Times New Roman"/>
                <w:kern w:val="0"/>
                <w:sz w:val="28"/>
                <w:szCs w:val="28"/>
                <w:lang w:eastAsia="pl-PL"/>
                <w14:ligatures w14:val="none"/>
              </w:rPr>
              <w:br/>
              <w:t>2.1. stan na dzień,</w:t>
            </w:r>
            <w:r w:rsidRPr="00B97E7A">
              <w:rPr>
                <w:rFonts w:ascii="Times New Roman" w:eastAsia="Times New Roman" w:hAnsi="Times New Roman" w:cs="Times New Roman"/>
                <w:kern w:val="0"/>
                <w:sz w:val="28"/>
                <w:szCs w:val="28"/>
                <w:lang w:eastAsia="pl-PL"/>
                <w14:ligatures w14:val="none"/>
              </w:rPr>
              <w:br/>
              <w:t>2.2. dla magazynów od-do,</w:t>
            </w:r>
            <w:r w:rsidRPr="00B97E7A">
              <w:rPr>
                <w:rFonts w:ascii="Times New Roman" w:eastAsia="Times New Roman" w:hAnsi="Times New Roman" w:cs="Times New Roman"/>
                <w:kern w:val="0"/>
                <w:sz w:val="28"/>
                <w:szCs w:val="28"/>
                <w:lang w:eastAsia="pl-PL"/>
                <w14:ligatures w14:val="none"/>
              </w:rPr>
              <w:br/>
              <w:t>2.3. rodzaj dokumentów,</w:t>
            </w:r>
            <w:r w:rsidRPr="00B97E7A">
              <w:rPr>
                <w:rFonts w:ascii="Times New Roman" w:eastAsia="Times New Roman" w:hAnsi="Times New Roman" w:cs="Times New Roman"/>
                <w:kern w:val="0"/>
                <w:sz w:val="28"/>
                <w:szCs w:val="28"/>
                <w:lang w:eastAsia="pl-PL"/>
                <w14:ligatures w14:val="none"/>
              </w:rPr>
              <w:br/>
              <w:t>2.4. indeks od-do,</w:t>
            </w:r>
            <w:r w:rsidRPr="00B97E7A">
              <w:rPr>
                <w:rFonts w:ascii="Times New Roman" w:eastAsia="Times New Roman" w:hAnsi="Times New Roman" w:cs="Times New Roman"/>
                <w:kern w:val="0"/>
                <w:sz w:val="28"/>
                <w:szCs w:val="28"/>
                <w:lang w:eastAsia="pl-PL"/>
                <w14:ligatures w14:val="none"/>
              </w:rPr>
              <w:br/>
              <w:t>2.5. kierunek ruchu od-do,</w:t>
            </w:r>
            <w:r w:rsidRPr="00B97E7A">
              <w:rPr>
                <w:rFonts w:ascii="Times New Roman" w:eastAsia="Times New Roman" w:hAnsi="Times New Roman" w:cs="Times New Roman"/>
                <w:kern w:val="0"/>
                <w:sz w:val="28"/>
                <w:szCs w:val="28"/>
                <w:lang w:eastAsia="pl-PL"/>
                <w14:ligatures w14:val="none"/>
              </w:rPr>
              <w:br/>
              <w:t>2.6. definicja okresów w miesiącach od-do – 5 możliwości,</w:t>
            </w:r>
            <w:r w:rsidRPr="00B97E7A">
              <w:rPr>
                <w:rFonts w:ascii="Times New Roman" w:eastAsia="Times New Roman" w:hAnsi="Times New Roman" w:cs="Times New Roman"/>
                <w:kern w:val="0"/>
                <w:sz w:val="28"/>
                <w:szCs w:val="28"/>
                <w:lang w:eastAsia="pl-PL"/>
                <w14:ligatures w14:val="none"/>
              </w:rPr>
              <w:br/>
              <w:t>2.7. rodzaj wydruku szczegóły/podsumowania.</w:t>
            </w:r>
          </w:p>
        </w:tc>
        <w:tc>
          <w:tcPr>
            <w:tcW w:w="850" w:type="dxa"/>
            <w:tcBorders>
              <w:top w:val="nil"/>
              <w:left w:val="nil"/>
              <w:bottom w:val="single" w:sz="8" w:space="0" w:color="auto"/>
              <w:right w:val="single" w:sz="8" w:space="0" w:color="auto"/>
            </w:tcBorders>
            <w:shd w:val="clear" w:color="auto" w:fill="auto"/>
            <w:vAlign w:val="center"/>
            <w:hideMark/>
          </w:tcPr>
          <w:p w14:paraId="7E40A3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38B21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F85CE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Niezaksięgowane dokumenty.</w:t>
            </w:r>
          </w:p>
        </w:tc>
        <w:tc>
          <w:tcPr>
            <w:tcW w:w="850" w:type="dxa"/>
            <w:tcBorders>
              <w:top w:val="nil"/>
              <w:left w:val="nil"/>
              <w:bottom w:val="single" w:sz="8" w:space="0" w:color="auto"/>
              <w:right w:val="single" w:sz="8" w:space="0" w:color="auto"/>
            </w:tcBorders>
            <w:shd w:val="clear" w:color="auto" w:fill="auto"/>
            <w:vAlign w:val="center"/>
            <w:hideMark/>
          </w:tcPr>
          <w:p w14:paraId="3810C3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9FBC25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15CE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Średnie ceny dla poszczególnych indeksów.</w:t>
            </w:r>
          </w:p>
        </w:tc>
        <w:tc>
          <w:tcPr>
            <w:tcW w:w="850" w:type="dxa"/>
            <w:tcBorders>
              <w:top w:val="nil"/>
              <w:left w:val="nil"/>
              <w:bottom w:val="single" w:sz="8" w:space="0" w:color="auto"/>
              <w:right w:val="single" w:sz="8" w:space="0" w:color="auto"/>
            </w:tcBorders>
            <w:shd w:val="clear" w:color="auto" w:fill="auto"/>
            <w:vAlign w:val="center"/>
            <w:hideMark/>
          </w:tcPr>
          <w:p w14:paraId="77A618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128601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5B145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Stany na dzień.</w:t>
            </w:r>
          </w:p>
        </w:tc>
        <w:tc>
          <w:tcPr>
            <w:tcW w:w="850" w:type="dxa"/>
            <w:tcBorders>
              <w:top w:val="nil"/>
              <w:left w:val="nil"/>
              <w:bottom w:val="single" w:sz="8" w:space="0" w:color="auto"/>
              <w:right w:val="single" w:sz="8" w:space="0" w:color="auto"/>
            </w:tcBorders>
            <w:shd w:val="clear" w:color="auto" w:fill="auto"/>
            <w:vAlign w:val="center"/>
            <w:hideMark/>
          </w:tcPr>
          <w:p w14:paraId="63272E4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2E1A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FB58E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PZ nierozliczone z fakturami.</w:t>
            </w:r>
          </w:p>
        </w:tc>
        <w:tc>
          <w:tcPr>
            <w:tcW w:w="850" w:type="dxa"/>
            <w:tcBorders>
              <w:top w:val="nil"/>
              <w:left w:val="nil"/>
              <w:bottom w:val="single" w:sz="8" w:space="0" w:color="auto"/>
              <w:right w:val="single" w:sz="8" w:space="0" w:color="auto"/>
            </w:tcBorders>
            <w:shd w:val="clear" w:color="auto" w:fill="auto"/>
            <w:vAlign w:val="center"/>
            <w:hideMark/>
          </w:tcPr>
          <w:p w14:paraId="298F5EA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0D17E4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C931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Wartość zakupów.</w:t>
            </w:r>
          </w:p>
        </w:tc>
        <w:tc>
          <w:tcPr>
            <w:tcW w:w="850" w:type="dxa"/>
            <w:tcBorders>
              <w:top w:val="nil"/>
              <w:left w:val="nil"/>
              <w:bottom w:val="single" w:sz="8" w:space="0" w:color="auto"/>
              <w:right w:val="single" w:sz="8" w:space="0" w:color="auto"/>
            </w:tcBorders>
            <w:shd w:val="clear" w:color="auto" w:fill="auto"/>
            <w:vAlign w:val="center"/>
            <w:hideMark/>
          </w:tcPr>
          <w:p w14:paraId="3481C0E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FF55C6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E77F3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8. Wydruk dokumentów na magazynie.</w:t>
            </w:r>
          </w:p>
        </w:tc>
        <w:tc>
          <w:tcPr>
            <w:tcW w:w="850" w:type="dxa"/>
            <w:tcBorders>
              <w:top w:val="nil"/>
              <w:left w:val="nil"/>
              <w:bottom w:val="single" w:sz="8" w:space="0" w:color="auto"/>
              <w:right w:val="single" w:sz="8" w:space="0" w:color="auto"/>
            </w:tcBorders>
            <w:shd w:val="clear" w:color="auto" w:fill="auto"/>
            <w:vAlign w:val="center"/>
            <w:hideMark/>
          </w:tcPr>
          <w:p w14:paraId="5F08CE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78132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E71D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Zużycie materiałów wg kierunku ruchu.</w:t>
            </w:r>
          </w:p>
        </w:tc>
        <w:tc>
          <w:tcPr>
            <w:tcW w:w="850" w:type="dxa"/>
            <w:tcBorders>
              <w:top w:val="nil"/>
              <w:left w:val="nil"/>
              <w:bottom w:val="single" w:sz="8" w:space="0" w:color="auto"/>
              <w:right w:val="single" w:sz="8" w:space="0" w:color="auto"/>
            </w:tcBorders>
            <w:shd w:val="clear" w:color="auto" w:fill="auto"/>
            <w:vAlign w:val="center"/>
            <w:hideMark/>
          </w:tcPr>
          <w:p w14:paraId="676B827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63663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837A6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Zużycie materiałów wg MPK.</w:t>
            </w:r>
          </w:p>
        </w:tc>
        <w:tc>
          <w:tcPr>
            <w:tcW w:w="850" w:type="dxa"/>
            <w:tcBorders>
              <w:top w:val="nil"/>
              <w:left w:val="nil"/>
              <w:bottom w:val="single" w:sz="8" w:space="0" w:color="auto"/>
              <w:right w:val="single" w:sz="8" w:space="0" w:color="auto"/>
            </w:tcBorders>
            <w:shd w:val="clear" w:color="auto" w:fill="auto"/>
            <w:vAlign w:val="center"/>
            <w:hideMark/>
          </w:tcPr>
          <w:p w14:paraId="15FCE82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788127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54B5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Zużycie wg grupy kalkulacyjnej.</w:t>
            </w:r>
          </w:p>
        </w:tc>
        <w:tc>
          <w:tcPr>
            <w:tcW w:w="850" w:type="dxa"/>
            <w:tcBorders>
              <w:top w:val="nil"/>
              <w:left w:val="nil"/>
              <w:bottom w:val="single" w:sz="8" w:space="0" w:color="auto"/>
              <w:right w:val="single" w:sz="8" w:space="0" w:color="auto"/>
            </w:tcBorders>
            <w:shd w:val="clear" w:color="auto" w:fill="auto"/>
            <w:vAlign w:val="center"/>
            <w:hideMark/>
          </w:tcPr>
          <w:p w14:paraId="7EC99C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B4F17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38092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Wydruk zużycia wg projektu.</w:t>
            </w:r>
          </w:p>
        </w:tc>
        <w:tc>
          <w:tcPr>
            <w:tcW w:w="850" w:type="dxa"/>
            <w:tcBorders>
              <w:top w:val="nil"/>
              <w:left w:val="nil"/>
              <w:bottom w:val="single" w:sz="8" w:space="0" w:color="auto"/>
              <w:right w:val="single" w:sz="8" w:space="0" w:color="auto"/>
            </w:tcBorders>
            <w:shd w:val="clear" w:color="auto" w:fill="auto"/>
            <w:vAlign w:val="center"/>
            <w:hideMark/>
          </w:tcPr>
          <w:p w14:paraId="32C445C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46F63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A0B28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Wydruk cen.</w:t>
            </w:r>
          </w:p>
        </w:tc>
        <w:tc>
          <w:tcPr>
            <w:tcW w:w="850" w:type="dxa"/>
            <w:tcBorders>
              <w:top w:val="nil"/>
              <w:left w:val="nil"/>
              <w:bottom w:val="single" w:sz="8" w:space="0" w:color="auto"/>
              <w:right w:val="single" w:sz="8" w:space="0" w:color="auto"/>
            </w:tcBorders>
            <w:shd w:val="clear" w:color="auto" w:fill="auto"/>
            <w:vAlign w:val="center"/>
            <w:hideMark/>
          </w:tcPr>
          <w:p w14:paraId="25EDE3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E44CF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60A8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Wydruk stanu indeksu.</w:t>
            </w:r>
          </w:p>
        </w:tc>
        <w:tc>
          <w:tcPr>
            <w:tcW w:w="850" w:type="dxa"/>
            <w:tcBorders>
              <w:top w:val="nil"/>
              <w:left w:val="nil"/>
              <w:bottom w:val="single" w:sz="8" w:space="0" w:color="auto"/>
              <w:right w:val="single" w:sz="8" w:space="0" w:color="auto"/>
            </w:tcBorders>
            <w:shd w:val="clear" w:color="auto" w:fill="auto"/>
            <w:vAlign w:val="center"/>
            <w:hideMark/>
          </w:tcPr>
          <w:p w14:paraId="022913A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00229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6911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Wydruk stanów na indeksach (osiągalny, minimalny, maksymalny).</w:t>
            </w:r>
          </w:p>
        </w:tc>
        <w:tc>
          <w:tcPr>
            <w:tcW w:w="850" w:type="dxa"/>
            <w:tcBorders>
              <w:top w:val="nil"/>
              <w:left w:val="nil"/>
              <w:bottom w:val="single" w:sz="8" w:space="0" w:color="auto"/>
              <w:right w:val="single" w:sz="8" w:space="0" w:color="auto"/>
            </w:tcBorders>
            <w:shd w:val="clear" w:color="auto" w:fill="auto"/>
            <w:vAlign w:val="center"/>
            <w:hideMark/>
          </w:tcPr>
          <w:p w14:paraId="22D3F2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8F43D75"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3ACE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Zestawienie obrotów wybranych indeksów za wybrany okres. Zestawienie ma zawierać następujące informacje:</w:t>
            </w:r>
            <w:r w:rsidRPr="00B97E7A">
              <w:rPr>
                <w:rFonts w:ascii="Times New Roman" w:eastAsia="Times New Roman" w:hAnsi="Times New Roman" w:cs="Times New Roman"/>
                <w:kern w:val="0"/>
                <w:sz w:val="28"/>
                <w:szCs w:val="28"/>
                <w:lang w:eastAsia="pl-PL"/>
                <w14:ligatures w14:val="none"/>
              </w:rPr>
              <w:br/>
              <w:t>16.1. Wartość i ilość na BO i BZ,</w:t>
            </w:r>
            <w:r w:rsidRPr="00B97E7A">
              <w:rPr>
                <w:rFonts w:ascii="Times New Roman" w:eastAsia="Times New Roman" w:hAnsi="Times New Roman" w:cs="Times New Roman"/>
                <w:kern w:val="0"/>
                <w:sz w:val="28"/>
                <w:szCs w:val="28"/>
                <w:lang w:eastAsia="pl-PL"/>
                <w14:ligatures w14:val="none"/>
              </w:rPr>
              <w:br/>
              <w:t>16.2. Wszystkie dokumenty obrotu magazynowego na danym indeksie, obejmujące rodzaj, numer i datę dokumentu, indeks, ilość, wartość, projekt/zlecenie.</w:t>
            </w:r>
          </w:p>
        </w:tc>
        <w:tc>
          <w:tcPr>
            <w:tcW w:w="850" w:type="dxa"/>
            <w:tcBorders>
              <w:top w:val="nil"/>
              <w:left w:val="nil"/>
              <w:bottom w:val="single" w:sz="8" w:space="0" w:color="auto"/>
              <w:right w:val="single" w:sz="8" w:space="0" w:color="auto"/>
            </w:tcBorders>
            <w:shd w:val="clear" w:color="auto" w:fill="auto"/>
            <w:vAlign w:val="center"/>
            <w:hideMark/>
          </w:tcPr>
          <w:p w14:paraId="030EC6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DEF1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E6AD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eksportu raportów do MS Excel.</w:t>
            </w:r>
          </w:p>
        </w:tc>
        <w:tc>
          <w:tcPr>
            <w:tcW w:w="850" w:type="dxa"/>
            <w:tcBorders>
              <w:top w:val="nil"/>
              <w:left w:val="nil"/>
              <w:bottom w:val="single" w:sz="8" w:space="0" w:color="auto"/>
              <w:right w:val="single" w:sz="8" w:space="0" w:color="auto"/>
            </w:tcBorders>
            <w:shd w:val="clear" w:color="auto" w:fill="auto"/>
            <w:vAlign w:val="center"/>
            <w:hideMark/>
          </w:tcPr>
          <w:p w14:paraId="388CFD5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F9BAA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F4FC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Zestawienia    z kartoteki stanów magazynowych i z wprowa</w:t>
            </w:r>
            <w:r w:rsidRPr="00B97E7A">
              <w:rPr>
                <w:rFonts w:ascii="Times New Roman" w:eastAsia="Times New Roman" w:hAnsi="Times New Roman" w:cs="Times New Roman"/>
                <w:kern w:val="0"/>
                <w:sz w:val="28"/>
                <w:szCs w:val="28"/>
                <w:lang w:eastAsia="pl-PL"/>
                <w14:ligatures w14:val="none"/>
              </w:rPr>
              <w:softHyphen/>
              <w:t>dzonych dokumentów za dowolnie wybrany okres i według różnych kryteriów.</w:t>
            </w:r>
          </w:p>
        </w:tc>
        <w:tc>
          <w:tcPr>
            <w:tcW w:w="850" w:type="dxa"/>
            <w:tcBorders>
              <w:top w:val="nil"/>
              <w:left w:val="nil"/>
              <w:bottom w:val="single" w:sz="8" w:space="0" w:color="auto"/>
              <w:right w:val="single" w:sz="8" w:space="0" w:color="auto"/>
            </w:tcBorders>
            <w:shd w:val="clear" w:color="auto" w:fill="auto"/>
            <w:vAlign w:val="center"/>
            <w:hideMark/>
          </w:tcPr>
          <w:p w14:paraId="537C13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CF42D3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79C5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tworzenia wydruków dokumentów obrotu materiałowego oraz generowanie zestawień według potrzeb.</w:t>
            </w:r>
          </w:p>
        </w:tc>
        <w:tc>
          <w:tcPr>
            <w:tcW w:w="850" w:type="dxa"/>
            <w:tcBorders>
              <w:top w:val="nil"/>
              <w:left w:val="nil"/>
              <w:bottom w:val="single" w:sz="8" w:space="0" w:color="auto"/>
              <w:right w:val="single" w:sz="8" w:space="0" w:color="auto"/>
            </w:tcBorders>
            <w:shd w:val="clear" w:color="auto" w:fill="auto"/>
            <w:vAlign w:val="center"/>
            <w:hideMark/>
          </w:tcPr>
          <w:p w14:paraId="46A041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9E7E3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76445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Zestawienia asortymentów nie wykazujących ruchu, zarezerwowanych.</w:t>
            </w:r>
          </w:p>
        </w:tc>
        <w:tc>
          <w:tcPr>
            <w:tcW w:w="850" w:type="dxa"/>
            <w:tcBorders>
              <w:top w:val="nil"/>
              <w:left w:val="nil"/>
              <w:bottom w:val="single" w:sz="8" w:space="0" w:color="auto"/>
              <w:right w:val="single" w:sz="8" w:space="0" w:color="auto"/>
            </w:tcBorders>
            <w:shd w:val="clear" w:color="auto" w:fill="auto"/>
            <w:vAlign w:val="center"/>
            <w:hideMark/>
          </w:tcPr>
          <w:p w14:paraId="6A2940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7B1989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5C32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Zestawienie stanów materiałowych wg. struktury wiekowej w ujęciu syntetycznym i analitycznym.</w:t>
            </w:r>
          </w:p>
        </w:tc>
        <w:tc>
          <w:tcPr>
            <w:tcW w:w="850" w:type="dxa"/>
            <w:tcBorders>
              <w:top w:val="nil"/>
              <w:left w:val="nil"/>
              <w:bottom w:val="single" w:sz="8" w:space="0" w:color="auto"/>
              <w:right w:val="single" w:sz="8" w:space="0" w:color="auto"/>
            </w:tcBorders>
            <w:shd w:val="clear" w:color="auto" w:fill="auto"/>
            <w:vAlign w:val="center"/>
            <w:hideMark/>
          </w:tcPr>
          <w:p w14:paraId="5E0E5A7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634573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37C1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Formułowanie raportów w sposób zdefiniowany przez użytkownika.</w:t>
            </w:r>
          </w:p>
        </w:tc>
        <w:tc>
          <w:tcPr>
            <w:tcW w:w="850" w:type="dxa"/>
            <w:tcBorders>
              <w:top w:val="nil"/>
              <w:left w:val="nil"/>
              <w:bottom w:val="single" w:sz="8" w:space="0" w:color="auto"/>
              <w:right w:val="single" w:sz="8" w:space="0" w:color="auto"/>
            </w:tcBorders>
            <w:shd w:val="clear" w:color="auto" w:fill="auto"/>
            <w:vAlign w:val="center"/>
            <w:hideMark/>
          </w:tcPr>
          <w:p w14:paraId="2D028EF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46E557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0230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Generowanie danych statystycznych do GUS.</w:t>
            </w:r>
          </w:p>
        </w:tc>
        <w:tc>
          <w:tcPr>
            <w:tcW w:w="850" w:type="dxa"/>
            <w:tcBorders>
              <w:top w:val="nil"/>
              <w:left w:val="nil"/>
              <w:bottom w:val="single" w:sz="8" w:space="0" w:color="auto"/>
              <w:right w:val="single" w:sz="8" w:space="0" w:color="auto"/>
            </w:tcBorders>
            <w:shd w:val="clear" w:color="auto" w:fill="auto"/>
            <w:vAlign w:val="center"/>
            <w:hideMark/>
          </w:tcPr>
          <w:p w14:paraId="3C17B45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7DD269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D139E7"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lastRenderedPageBreak/>
              <w:t>VI. LOGISTYKA</w:t>
            </w:r>
          </w:p>
        </w:tc>
        <w:tc>
          <w:tcPr>
            <w:tcW w:w="850" w:type="dxa"/>
            <w:tcBorders>
              <w:top w:val="nil"/>
              <w:left w:val="nil"/>
              <w:bottom w:val="single" w:sz="8" w:space="0" w:color="auto"/>
              <w:right w:val="single" w:sz="8" w:space="0" w:color="auto"/>
            </w:tcBorders>
            <w:shd w:val="clear" w:color="000000" w:fill="A6A6A6"/>
            <w:vAlign w:val="center"/>
            <w:hideMark/>
          </w:tcPr>
          <w:p w14:paraId="40A72903"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9A7D6A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1F3CA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ZAMÓWIENIA</w:t>
            </w:r>
          </w:p>
        </w:tc>
        <w:tc>
          <w:tcPr>
            <w:tcW w:w="850" w:type="dxa"/>
            <w:tcBorders>
              <w:top w:val="nil"/>
              <w:left w:val="nil"/>
              <w:bottom w:val="single" w:sz="8" w:space="0" w:color="auto"/>
              <w:right w:val="single" w:sz="8" w:space="0" w:color="auto"/>
            </w:tcBorders>
            <w:shd w:val="clear" w:color="000000" w:fill="A6A6A6"/>
            <w:vAlign w:val="center"/>
            <w:hideMark/>
          </w:tcPr>
          <w:p w14:paraId="0B6701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866F12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E1CB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przypisania kontrahenta z listy oraz dodania nowego, jeśli kontrahenta nie ma na liście.</w:t>
            </w:r>
          </w:p>
        </w:tc>
        <w:tc>
          <w:tcPr>
            <w:tcW w:w="850" w:type="dxa"/>
            <w:tcBorders>
              <w:top w:val="nil"/>
              <w:left w:val="nil"/>
              <w:bottom w:val="single" w:sz="8" w:space="0" w:color="auto"/>
              <w:right w:val="single" w:sz="8" w:space="0" w:color="auto"/>
            </w:tcBorders>
            <w:shd w:val="clear" w:color="auto" w:fill="auto"/>
            <w:vAlign w:val="center"/>
            <w:hideMark/>
          </w:tcPr>
          <w:p w14:paraId="1F407F7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D96A1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3EB8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Wyszukiwanie kontrahentów np. po nr NIP, nazwie, adresie.</w:t>
            </w:r>
          </w:p>
        </w:tc>
        <w:tc>
          <w:tcPr>
            <w:tcW w:w="850" w:type="dxa"/>
            <w:tcBorders>
              <w:top w:val="nil"/>
              <w:left w:val="nil"/>
              <w:bottom w:val="single" w:sz="8" w:space="0" w:color="auto"/>
              <w:right w:val="single" w:sz="8" w:space="0" w:color="auto"/>
            </w:tcBorders>
            <w:shd w:val="clear" w:color="auto" w:fill="auto"/>
            <w:vAlign w:val="center"/>
            <w:hideMark/>
          </w:tcPr>
          <w:p w14:paraId="313A6F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A89AC1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C82F8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Data zamówienia i termin realizacji.</w:t>
            </w:r>
          </w:p>
        </w:tc>
        <w:tc>
          <w:tcPr>
            <w:tcW w:w="850" w:type="dxa"/>
            <w:tcBorders>
              <w:top w:val="nil"/>
              <w:left w:val="nil"/>
              <w:bottom w:val="single" w:sz="8" w:space="0" w:color="auto"/>
              <w:right w:val="single" w:sz="8" w:space="0" w:color="auto"/>
            </w:tcBorders>
            <w:shd w:val="clear" w:color="auto" w:fill="auto"/>
            <w:vAlign w:val="center"/>
            <w:hideMark/>
          </w:tcPr>
          <w:p w14:paraId="5ED41D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CA410C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9C49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Odwołanie się do podstawy zakupu – aktywny rejestr umów.</w:t>
            </w:r>
          </w:p>
        </w:tc>
        <w:tc>
          <w:tcPr>
            <w:tcW w:w="850" w:type="dxa"/>
            <w:tcBorders>
              <w:top w:val="nil"/>
              <w:left w:val="nil"/>
              <w:bottom w:val="single" w:sz="8" w:space="0" w:color="auto"/>
              <w:right w:val="single" w:sz="8" w:space="0" w:color="auto"/>
            </w:tcBorders>
            <w:shd w:val="clear" w:color="auto" w:fill="auto"/>
            <w:vAlign w:val="center"/>
            <w:hideMark/>
          </w:tcPr>
          <w:p w14:paraId="2CCE97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71AD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23D3C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Miejsce dostawy: do wyboru z listy edytowalnej.</w:t>
            </w:r>
          </w:p>
        </w:tc>
        <w:tc>
          <w:tcPr>
            <w:tcW w:w="850" w:type="dxa"/>
            <w:tcBorders>
              <w:top w:val="nil"/>
              <w:left w:val="nil"/>
              <w:bottom w:val="single" w:sz="8" w:space="0" w:color="auto"/>
              <w:right w:val="single" w:sz="8" w:space="0" w:color="auto"/>
            </w:tcBorders>
            <w:shd w:val="clear" w:color="auto" w:fill="auto"/>
            <w:vAlign w:val="center"/>
            <w:hideMark/>
          </w:tcPr>
          <w:p w14:paraId="327FF8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AD5759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1040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Forma płatności do wyboru z listy edytowalnej oraz waluta i termin.</w:t>
            </w:r>
          </w:p>
        </w:tc>
        <w:tc>
          <w:tcPr>
            <w:tcW w:w="850" w:type="dxa"/>
            <w:tcBorders>
              <w:top w:val="nil"/>
              <w:left w:val="nil"/>
              <w:bottom w:val="single" w:sz="8" w:space="0" w:color="auto"/>
              <w:right w:val="single" w:sz="8" w:space="0" w:color="auto"/>
            </w:tcBorders>
            <w:shd w:val="clear" w:color="auto" w:fill="auto"/>
            <w:vAlign w:val="center"/>
            <w:hideMark/>
          </w:tcPr>
          <w:p w14:paraId="208CF6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C7597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0C96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Status zamówienia: wysłane, zrealizowane, zrealizowane częściowo.</w:t>
            </w:r>
          </w:p>
        </w:tc>
        <w:tc>
          <w:tcPr>
            <w:tcW w:w="850" w:type="dxa"/>
            <w:tcBorders>
              <w:top w:val="nil"/>
              <w:left w:val="nil"/>
              <w:bottom w:val="single" w:sz="8" w:space="0" w:color="auto"/>
              <w:right w:val="single" w:sz="8" w:space="0" w:color="auto"/>
            </w:tcBorders>
            <w:shd w:val="clear" w:color="auto" w:fill="auto"/>
            <w:vAlign w:val="center"/>
            <w:hideMark/>
          </w:tcPr>
          <w:p w14:paraId="5FF25C2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22574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BFA3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generowania zamówienia z wielu zapotrzebowań. Zaciąganie indeksów z zapotrzebowań lub kartoteki materiałów do zamówienia.</w:t>
            </w:r>
          </w:p>
        </w:tc>
        <w:tc>
          <w:tcPr>
            <w:tcW w:w="850" w:type="dxa"/>
            <w:tcBorders>
              <w:top w:val="nil"/>
              <w:left w:val="nil"/>
              <w:bottom w:val="single" w:sz="8" w:space="0" w:color="auto"/>
              <w:right w:val="single" w:sz="8" w:space="0" w:color="auto"/>
            </w:tcBorders>
            <w:shd w:val="clear" w:color="auto" w:fill="auto"/>
            <w:vAlign w:val="center"/>
            <w:hideMark/>
          </w:tcPr>
          <w:p w14:paraId="4C00FE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D7A0B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7B6BC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umieszczenia informacji dodatkowej przy pozycji oraz zbiorczej dla zamówienia.</w:t>
            </w:r>
          </w:p>
        </w:tc>
        <w:tc>
          <w:tcPr>
            <w:tcW w:w="850" w:type="dxa"/>
            <w:tcBorders>
              <w:top w:val="nil"/>
              <w:left w:val="nil"/>
              <w:bottom w:val="single" w:sz="8" w:space="0" w:color="auto"/>
              <w:right w:val="single" w:sz="8" w:space="0" w:color="auto"/>
            </w:tcBorders>
            <w:shd w:val="clear" w:color="auto" w:fill="auto"/>
            <w:vAlign w:val="center"/>
            <w:hideMark/>
          </w:tcPr>
          <w:p w14:paraId="5EE380F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EAD52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3D07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Pole nazwy materiału edytowalne tylko w zamówieniu.</w:t>
            </w:r>
          </w:p>
        </w:tc>
        <w:tc>
          <w:tcPr>
            <w:tcW w:w="850" w:type="dxa"/>
            <w:tcBorders>
              <w:top w:val="nil"/>
              <w:left w:val="nil"/>
              <w:bottom w:val="single" w:sz="8" w:space="0" w:color="auto"/>
              <w:right w:val="single" w:sz="8" w:space="0" w:color="auto"/>
            </w:tcBorders>
            <w:shd w:val="clear" w:color="auto" w:fill="auto"/>
            <w:vAlign w:val="center"/>
            <w:hideMark/>
          </w:tcPr>
          <w:p w14:paraId="37626C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5C55E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FF3B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Generowany elektronicznie podpis osoby wystawiającej.</w:t>
            </w:r>
          </w:p>
        </w:tc>
        <w:tc>
          <w:tcPr>
            <w:tcW w:w="850" w:type="dxa"/>
            <w:tcBorders>
              <w:top w:val="nil"/>
              <w:left w:val="nil"/>
              <w:bottom w:val="single" w:sz="8" w:space="0" w:color="auto"/>
              <w:right w:val="single" w:sz="8" w:space="0" w:color="auto"/>
            </w:tcBorders>
            <w:shd w:val="clear" w:color="auto" w:fill="auto"/>
            <w:vAlign w:val="center"/>
            <w:hideMark/>
          </w:tcPr>
          <w:p w14:paraId="569AF95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E75F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58237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Powiadomienie do osoby zatwierdzającej.</w:t>
            </w:r>
          </w:p>
        </w:tc>
        <w:tc>
          <w:tcPr>
            <w:tcW w:w="850" w:type="dxa"/>
            <w:tcBorders>
              <w:top w:val="nil"/>
              <w:left w:val="nil"/>
              <w:bottom w:val="single" w:sz="8" w:space="0" w:color="auto"/>
              <w:right w:val="single" w:sz="8" w:space="0" w:color="auto"/>
            </w:tcBorders>
            <w:shd w:val="clear" w:color="auto" w:fill="auto"/>
            <w:vAlign w:val="center"/>
            <w:hideMark/>
          </w:tcPr>
          <w:p w14:paraId="7F5618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BF803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34A7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Generowany elektronicznie podpis osoby zatwierdzającej.</w:t>
            </w:r>
          </w:p>
        </w:tc>
        <w:tc>
          <w:tcPr>
            <w:tcW w:w="850" w:type="dxa"/>
            <w:tcBorders>
              <w:top w:val="nil"/>
              <w:left w:val="nil"/>
              <w:bottom w:val="single" w:sz="8" w:space="0" w:color="auto"/>
              <w:right w:val="single" w:sz="8" w:space="0" w:color="auto"/>
            </w:tcBorders>
            <w:shd w:val="clear" w:color="auto" w:fill="auto"/>
            <w:vAlign w:val="center"/>
            <w:hideMark/>
          </w:tcPr>
          <w:p w14:paraId="0DFDF57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690F3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A6CC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14. Możliwość załączenia plików (pdf, jpg, </w:t>
            </w:r>
            <w:proofErr w:type="spellStart"/>
            <w:r w:rsidRPr="00B97E7A">
              <w:rPr>
                <w:rFonts w:ascii="Times New Roman" w:eastAsia="Times New Roman" w:hAnsi="Times New Roman" w:cs="Times New Roman"/>
                <w:kern w:val="0"/>
                <w:sz w:val="28"/>
                <w:szCs w:val="28"/>
                <w:lang w:eastAsia="pl-PL"/>
                <w14:ligatures w14:val="none"/>
              </w:rPr>
              <w:t>word</w:t>
            </w:r>
            <w:proofErr w:type="spellEnd"/>
            <w:r w:rsidRPr="00B97E7A">
              <w:rPr>
                <w:rFonts w:ascii="Times New Roman" w:eastAsia="Times New Roman" w:hAnsi="Times New Roman" w:cs="Times New Roman"/>
                <w:kern w:val="0"/>
                <w:sz w:val="28"/>
                <w:szCs w:val="28"/>
                <w:lang w:eastAsia="pl-PL"/>
                <w14:ligatures w14:val="none"/>
              </w:rPr>
              <w:t xml:space="preserve">). </w:t>
            </w:r>
          </w:p>
        </w:tc>
        <w:tc>
          <w:tcPr>
            <w:tcW w:w="850" w:type="dxa"/>
            <w:tcBorders>
              <w:top w:val="nil"/>
              <w:left w:val="nil"/>
              <w:bottom w:val="single" w:sz="8" w:space="0" w:color="auto"/>
              <w:right w:val="single" w:sz="8" w:space="0" w:color="auto"/>
            </w:tcBorders>
            <w:shd w:val="clear" w:color="auto" w:fill="auto"/>
            <w:vAlign w:val="center"/>
            <w:hideMark/>
          </w:tcPr>
          <w:p w14:paraId="0511294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0AE6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7A627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Ceny i wartości netto oraz opcja przeliczania cen po rabacie.</w:t>
            </w:r>
          </w:p>
        </w:tc>
        <w:tc>
          <w:tcPr>
            <w:tcW w:w="850" w:type="dxa"/>
            <w:tcBorders>
              <w:top w:val="nil"/>
              <w:left w:val="nil"/>
              <w:bottom w:val="single" w:sz="8" w:space="0" w:color="auto"/>
              <w:right w:val="single" w:sz="8" w:space="0" w:color="auto"/>
            </w:tcBorders>
            <w:shd w:val="clear" w:color="auto" w:fill="auto"/>
            <w:vAlign w:val="center"/>
            <w:hideMark/>
          </w:tcPr>
          <w:p w14:paraId="352037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3D4B58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4B132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OFERTOWANIE</w:t>
            </w:r>
          </w:p>
        </w:tc>
        <w:tc>
          <w:tcPr>
            <w:tcW w:w="850" w:type="dxa"/>
            <w:tcBorders>
              <w:top w:val="nil"/>
              <w:left w:val="nil"/>
              <w:bottom w:val="single" w:sz="8" w:space="0" w:color="auto"/>
              <w:right w:val="single" w:sz="8" w:space="0" w:color="auto"/>
            </w:tcBorders>
            <w:shd w:val="clear" w:color="000000" w:fill="A6A6A6"/>
            <w:vAlign w:val="center"/>
            <w:hideMark/>
          </w:tcPr>
          <w:p w14:paraId="342AAA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70D5DA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44B62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Generowanie zapytania ofertowego z zapotrzebowania.</w:t>
            </w:r>
          </w:p>
        </w:tc>
        <w:tc>
          <w:tcPr>
            <w:tcW w:w="850" w:type="dxa"/>
            <w:tcBorders>
              <w:top w:val="nil"/>
              <w:left w:val="nil"/>
              <w:bottom w:val="single" w:sz="8" w:space="0" w:color="auto"/>
              <w:right w:val="single" w:sz="8" w:space="0" w:color="auto"/>
            </w:tcBorders>
            <w:shd w:val="clear" w:color="auto" w:fill="auto"/>
            <w:vAlign w:val="center"/>
            <w:hideMark/>
          </w:tcPr>
          <w:p w14:paraId="510E27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817B2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CE531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wyboru pozycji z kilku zapotrzebowań.</w:t>
            </w:r>
          </w:p>
        </w:tc>
        <w:tc>
          <w:tcPr>
            <w:tcW w:w="850" w:type="dxa"/>
            <w:tcBorders>
              <w:top w:val="nil"/>
              <w:left w:val="nil"/>
              <w:bottom w:val="single" w:sz="8" w:space="0" w:color="auto"/>
              <w:right w:val="single" w:sz="8" w:space="0" w:color="auto"/>
            </w:tcBorders>
            <w:shd w:val="clear" w:color="auto" w:fill="auto"/>
            <w:vAlign w:val="center"/>
            <w:hideMark/>
          </w:tcPr>
          <w:p w14:paraId="7457670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2F3033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14E1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Integracja z systemem Lotus, możliwość podpinania do oferty numeru wniosku na zakup.</w:t>
            </w:r>
          </w:p>
        </w:tc>
        <w:tc>
          <w:tcPr>
            <w:tcW w:w="850" w:type="dxa"/>
            <w:tcBorders>
              <w:top w:val="nil"/>
              <w:left w:val="nil"/>
              <w:bottom w:val="single" w:sz="8" w:space="0" w:color="auto"/>
              <w:right w:val="single" w:sz="8" w:space="0" w:color="auto"/>
            </w:tcBorders>
            <w:shd w:val="clear" w:color="auto" w:fill="auto"/>
            <w:vAlign w:val="center"/>
            <w:hideMark/>
          </w:tcPr>
          <w:p w14:paraId="5C15FF6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D4124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CFC3D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ZARZĄDZANIE ODZIEŻĄ ROBOCZĄ I WYPOSAŻENIEM</w:t>
            </w:r>
          </w:p>
        </w:tc>
        <w:tc>
          <w:tcPr>
            <w:tcW w:w="850" w:type="dxa"/>
            <w:tcBorders>
              <w:top w:val="nil"/>
              <w:left w:val="nil"/>
              <w:bottom w:val="single" w:sz="8" w:space="0" w:color="auto"/>
              <w:right w:val="single" w:sz="8" w:space="0" w:color="auto"/>
            </w:tcBorders>
            <w:shd w:val="clear" w:color="000000" w:fill="A6A6A6"/>
            <w:vAlign w:val="center"/>
            <w:hideMark/>
          </w:tcPr>
          <w:p w14:paraId="70995EB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A5B2E1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CE59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Integracja z modułami Kadry oraz Płace.</w:t>
            </w:r>
          </w:p>
        </w:tc>
        <w:tc>
          <w:tcPr>
            <w:tcW w:w="850" w:type="dxa"/>
            <w:tcBorders>
              <w:top w:val="nil"/>
              <w:left w:val="nil"/>
              <w:bottom w:val="single" w:sz="8" w:space="0" w:color="auto"/>
              <w:right w:val="single" w:sz="8" w:space="0" w:color="auto"/>
            </w:tcBorders>
            <w:shd w:val="clear" w:color="auto" w:fill="auto"/>
            <w:vAlign w:val="center"/>
            <w:hideMark/>
          </w:tcPr>
          <w:p w14:paraId="173F16D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E6C58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04CE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tworzenia grup odzieżowych w podziale na zakłady i stanowiska.</w:t>
            </w:r>
          </w:p>
        </w:tc>
        <w:tc>
          <w:tcPr>
            <w:tcW w:w="850" w:type="dxa"/>
            <w:tcBorders>
              <w:top w:val="nil"/>
              <w:left w:val="nil"/>
              <w:bottom w:val="single" w:sz="8" w:space="0" w:color="auto"/>
              <w:right w:val="single" w:sz="8" w:space="0" w:color="auto"/>
            </w:tcBorders>
            <w:shd w:val="clear" w:color="auto" w:fill="auto"/>
            <w:vAlign w:val="center"/>
            <w:hideMark/>
          </w:tcPr>
          <w:p w14:paraId="1E6E09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633C53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800F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definiowania indywidualnych kartotek dla odzieży i wyposażenia.</w:t>
            </w:r>
          </w:p>
        </w:tc>
        <w:tc>
          <w:tcPr>
            <w:tcW w:w="850" w:type="dxa"/>
            <w:tcBorders>
              <w:top w:val="nil"/>
              <w:left w:val="nil"/>
              <w:bottom w:val="single" w:sz="8" w:space="0" w:color="auto"/>
              <w:right w:val="single" w:sz="8" w:space="0" w:color="auto"/>
            </w:tcBorders>
            <w:shd w:val="clear" w:color="auto" w:fill="auto"/>
            <w:vAlign w:val="center"/>
            <w:hideMark/>
          </w:tcPr>
          <w:p w14:paraId="54D0B8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647447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21AD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podziału odzieży na dwa czasookresy – odzież letnia i zimowa.</w:t>
            </w:r>
          </w:p>
        </w:tc>
        <w:tc>
          <w:tcPr>
            <w:tcW w:w="850" w:type="dxa"/>
            <w:tcBorders>
              <w:top w:val="nil"/>
              <w:left w:val="nil"/>
              <w:bottom w:val="single" w:sz="8" w:space="0" w:color="auto"/>
              <w:right w:val="single" w:sz="8" w:space="0" w:color="auto"/>
            </w:tcBorders>
            <w:shd w:val="clear" w:color="auto" w:fill="auto"/>
            <w:vAlign w:val="center"/>
            <w:hideMark/>
          </w:tcPr>
          <w:p w14:paraId="0619C92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5FDDD7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1AA5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Współpraca z czytnikami kodów kreskowych i QR oraz kartami pracowników.</w:t>
            </w:r>
          </w:p>
        </w:tc>
        <w:tc>
          <w:tcPr>
            <w:tcW w:w="850" w:type="dxa"/>
            <w:tcBorders>
              <w:top w:val="nil"/>
              <w:left w:val="nil"/>
              <w:bottom w:val="single" w:sz="8" w:space="0" w:color="auto"/>
              <w:right w:val="single" w:sz="8" w:space="0" w:color="auto"/>
            </w:tcBorders>
            <w:shd w:val="clear" w:color="auto" w:fill="auto"/>
            <w:vAlign w:val="center"/>
            <w:hideMark/>
          </w:tcPr>
          <w:p w14:paraId="7441A9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27FAB0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25DDF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Kontrola odpowiedzialności materialnej za powierzone mienie (raport stanu posiadania do obiegówki).</w:t>
            </w:r>
          </w:p>
        </w:tc>
        <w:tc>
          <w:tcPr>
            <w:tcW w:w="850" w:type="dxa"/>
            <w:tcBorders>
              <w:top w:val="nil"/>
              <w:left w:val="nil"/>
              <w:bottom w:val="single" w:sz="8" w:space="0" w:color="auto"/>
              <w:right w:val="single" w:sz="8" w:space="0" w:color="auto"/>
            </w:tcBorders>
            <w:shd w:val="clear" w:color="auto" w:fill="auto"/>
            <w:vAlign w:val="center"/>
            <w:hideMark/>
          </w:tcPr>
          <w:p w14:paraId="12C249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0E8E23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D21D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tworzenia kwartalnych zapotrzebowań z dwu miesięcznym wyprzedzeniem na podstawie czasu zużycia odzieży roboczej w podziale na rozmiary z wyłączeniem ekwiwalentów.</w:t>
            </w:r>
          </w:p>
        </w:tc>
        <w:tc>
          <w:tcPr>
            <w:tcW w:w="850" w:type="dxa"/>
            <w:tcBorders>
              <w:top w:val="nil"/>
              <w:left w:val="nil"/>
              <w:bottom w:val="single" w:sz="8" w:space="0" w:color="auto"/>
              <w:right w:val="single" w:sz="8" w:space="0" w:color="auto"/>
            </w:tcBorders>
            <w:shd w:val="clear" w:color="auto" w:fill="auto"/>
            <w:vAlign w:val="center"/>
            <w:hideMark/>
          </w:tcPr>
          <w:p w14:paraId="35BE4E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434961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13BAC4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Automatyczne tworzenie powiadomień do osoby odpowiedzialnej w danej komórce za odzież Elektroniczny rejestr protokołów przedwczesnego zużycia.</w:t>
            </w:r>
          </w:p>
        </w:tc>
        <w:tc>
          <w:tcPr>
            <w:tcW w:w="850" w:type="dxa"/>
            <w:tcBorders>
              <w:top w:val="nil"/>
              <w:left w:val="nil"/>
              <w:bottom w:val="single" w:sz="8" w:space="0" w:color="auto"/>
              <w:right w:val="single" w:sz="8" w:space="0" w:color="auto"/>
            </w:tcBorders>
            <w:shd w:val="clear" w:color="auto" w:fill="auto"/>
            <w:vAlign w:val="center"/>
            <w:hideMark/>
          </w:tcPr>
          <w:p w14:paraId="494C03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532599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6F30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podpinania zdjęć pod protokoły.</w:t>
            </w:r>
          </w:p>
        </w:tc>
        <w:tc>
          <w:tcPr>
            <w:tcW w:w="850" w:type="dxa"/>
            <w:tcBorders>
              <w:top w:val="nil"/>
              <w:left w:val="nil"/>
              <w:bottom w:val="single" w:sz="8" w:space="0" w:color="auto"/>
              <w:right w:val="single" w:sz="8" w:space="0" w:color="auto"/>
            </w:tcBorders>
            <w:shd w:val="clear" w:color="auto" w:fill="auto"/>
            <w:vAlign w:val="center"/>
            <w:hideMark/>
          </w:tcPr>
          <w:p w14:paraId="7492221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8D5C53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A4E2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Automatyczne wydłużanie czasu użytkowania odzieży w oparciu o okresy nieobecności w pracy z możliwością określenia typu i długości nieobecności przedłużającej czas użytkowania.</w:t>
            </w:r>
          </w:p>
        </w:tc>
        <w:tc>
          <w:tcPr>
            <w:tcW w:w="850" w:type="dxa"/>
            <w:tcBorders>
              <w:top w:val="nil"/>
              <w:left w:val="nil"/>
              <w:bottom w:val="single" w:sz="8" w:space="0" w:color="auto"/>
              <w:right w:val="single" w:sz="8" w:space="0" w:color="auto"/>
            </w:tcBorders>
            <w:shd w:val="clear" w:color="auto" w:fill="auto"/>
            <w:vAlign w:val="center"/>
            <w:hideMark/>
          </w:tcPr>
          <w:p w14:paraId="2B8217B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057084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FCA09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prowadzenia ewidencji obrotów i stanów wyposażenia u użytkowników: podział na grupy asortymentowe, definiowanie stanowiskowych norm wyposażenia, kontrola wyposażenia u użytkowników w oparciu o normy, integracja z operacjami rozchodów magazynowych.</w:t>
            </w:r>
          </w:p>
        </w:tc>
        <w:tc>
          <w:tcPr>
            <w:tcW w:w="850" w:type="dxa"/>
            <w:tcBorders>
              <w:top w:val="nil"/>
              <w:left w:val="nil"/>
              <w:bottom w:val="single" w:sz="8" w:space="0" w:color="auto"/>
              <w:right w:val="single" w:sz="8" w:space="0" w:color="auto"/>
            </w:tcBorders>
            <w:shd w:val="clear" w:color="auto" w:fill="auto"/>
            <w:vAlign w:val="center"/>
            <w:hideMark/>
          </w:tcPr>
          <w:p w14:paraId="25AA464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A5C134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E486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Kontrola stanów oraz obrotu wyposażenia na kartotekach pracowniczych z wykorzystaniem norm stanowiskowych.</w:t>
            </w:r>
          </w:p>
        </w:tc>
        <w:tc>
          <w:tcPr>
            <w:tcW w:w="850" w:type="dxa"/>
            <w:tcBorders>
              <w:top w:val="nil"/>
              <w:left w:val="nil"/>
              <w:bottom w:val="single" w:sz="8" w:space="0" w:color="auto"/>
              <w:right w:val="single" w:sz="8" w:space="0" w:color="auto"/>
            </w:tcBorders>
            <w:shd w:val="clear" w:color="auto" w:fill="auto"/>
            <w:vAlign w:val="center"/>
            <w:hideMark/>
          </w:tcPr>
          <w:p w14:paraId="5AFA2B4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330B64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5D1AC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Automatyczne generowanie zapotrzebowań na wyposażenie i odzież pracowników wg ustalonych rozmiarów i okresów użytkowania.</w:t>
            </w:r>
          </w:p>
        </w:tc>
        <w:tc>
          <w:tcPr>
            <w:tcW w:w="850" w:type="dxa"/>
            <w:tcBorders>
              <w:top w:val="nil"/>
              <w:left w:val="nil"/>
              <w:bottom w:val="single" w:sz="8" w:space="0" w:color="auto"/>
              <w:right w:val="single" w:sz="8" w:space="0" w:color="auto"/>
            </w:tcBorders>
            <w:shd w:val="clear" w:color="auto" w:fill="auto"/>
            <w:vAlign w:val="center"/>
            <w:hideMark/>
          </w:tcPr>
          <w:p w14:paraId="13D952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FD708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CD5FB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Integracja z systemem znakowania odzieży roboczej, zaczytywanie do kartoteki pracownika numerów i kodów QR.</w:t>
            </w:r>
          </w:p>
        </w:tc>
        <w:tc>
          <w:tcPr>
            <w:tcW w:w="850" w:type="dxa"/>
            <w:tcBorders>
              <w:top w:val="nil"/>
              <w:left w:val="nil"/>
              <w:bottom w:val="single" w:sz="8" w:space="0" w:color="auto"/>
              <w:right w:val="single" w:sz="8" w:space="0" w:color="auto"/>
            </w:tcBorders>
            <w:shd w:val="clear" w:color="auto" w:fill="auto"/>
            <w:vAlign w:val="center"/>
            <w:hideMark/>
          </w:tcPr>
          <w:p w14:paraId="37DCCE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A8AECD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D333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15. Integracja z maszyną </w:t>
            </w:r>
            <w:proofErr w:type="spellStart"/>
            <w:r w:rsidRPr="00B97E7A">
              <w:rPr>
                <w:rFonts w:ascii="Times New Roman" w:eastAsia="Times New Roman" w:hAnsi="Times New Roman" w:cs="Times New Roman"/>
                <w:kern w:val="0"/>
                <w:sz w:val="28"/>
                <w:szCs w:val="28"/>
                <w:lang w:eastAsia="pl-PL"/>
                <w14:ligatures w14:val="none"/>
              </w:rPr>
              <w:t>vendingową</w:t>
            </w:r>
            <w:proofErr w:type="spellEnd"/>
            <w:r w:rsidRPr="00B97E7A">
              <w:rPr>
                <w:rFonts w:ascii="Times New Roman" w:eastAsia="Times New Roman" w:hAnsi="Times New Roman" w:cs="Times New Roman"/>
                <w:kern w:val="0"/>
                <w:sz w:val="28"/>
                <w:szCs w:val="28"/>
                <w:lang w:eastAsia="pl-PL"/>
                <w14:ligatures w14:val="none"/>
              </w:rPr>
              <w:t xml:space="preserve"> w zakresie importu dokumentów RW.</w:t>
            </w:r>
          </w:p>
        </w:tc>
        <w:tc>
          <w:tcPr>
            <w:tcW w:w="850" w:type="dxa"/>
            <w:tcBorders>
              <w:top w:val="nil"/>
              <w:left w:val="nil"/>
              <w:bottom w:val="single" w:sz="8" w:space="0" w:color="auto"/>
              <w:right w:val="single" w:sz="8" w:space="0" w:color="auto"/>
            </w:tcBorders>
            <w:shd w:val="clear" w:color="auto" w:fill="auto"/>
            <w:vAlign w:val="center"/>
            <w:hideMark/>
          </w:tcPr>
          <w:p w14:paraId="6E6D84C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C3DEA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AC5F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Automatyczne alerty o zbliżającym się terminie wydania odzieży roboczej.</w:t>
            </w:r>
          </w:p>
        </w:tc>
        <w:tc>
          <w:tcPr>
            <w:tcW w:w="850" w:type="dxa"/>
            <w:tcBorders>
              <w:top w:val="nil"/>
              <w:left w:val="nil"/>
              <w:bottom w:val="single" w:sz="8" w:space="0" w:color="auto"/>
              <w:right w:val="single" w:sz="8" w:space="0" w:color="auto"/>
            </w:tcBorders>
            <w:shd w:val="clear" w:color="auto" w:fill="auto"/>
            <w:vAlign w:val="center"/>
            <w:hideMark/>
          </w:tcPr>
          <w:p w14:paraId="75DE4D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E402AC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6190E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Blokada składania automatycznych zapotrzebowań na zakup odzieży roboczej dla pracowników w statusie wypowiedzenia/ rozwiązania umowy o pracę.</w:t>
            </w:r>
          </w:p>
        </w:tc>
        <w:tc>
          <w:tcPr>
            <w:tcW w:w="850" w:type="dxa"/>
            <w:tcBorders>
              <w:top w:val="nil"/>
              <w:left w:val="nil"/>
              <w:bottom w:val="single" w:sz="8" w:space="0" w:color="auto"/>
              <w:right w:val="single" w:sz="8" w:space="0" w:color="auto"/>
            </w:tcBorders>
            <w:shd w:val="clear" w:color="auto" w:fill="auto"/>
            <w:vAlign w:val="center"/>
            <w:hideMark/>
          </w:tcPr>
          <w:p w14:paraId="200080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59F22D5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B62EB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ZARZĄDZANIE ZAKŁADOWĄ STACJĄ PALIW</w:t>
            </w:r>
          </w:p>
        </w:tc>
        <w:tc>
          <w:tcPr>
            <w:tcW w:w="850" w:type="dxa"/>
            <w:tcBorders>
              <w:top w:val="nil"/>
              <w:left w:val="nil"/>
              <w:bottom w:val="single" w:sz="8" w:space="0" w:color="auto"/>
              <w:right w:val="single" w:sz="8" w:space="0" w:color="auto"/>
            </w:tcBorders>
            <w:shd w:val="clear" w:color="000000" w:fill="A6A6A6"/>
            <w:vAlign w:val="center"/>
            <w:hideMark/>
          </w:tcPr>
          <w:p w14:paraId="7E2B30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A6215B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C1812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Integracja Magazynu Paliw z system obsługi stacji paliw firmy PCS s.c. z Nadarzyna.</w:t>
            </w:r>
          </w:p>
        </w:tc>
        <w:tc>
          <w:tcPr>
            <w:tcW w:w="850" w:type="dxa"/>
            <w:tcBorders>
              <w:top w:val="nil"/>
              <w:left w:val="nil"/>
              <w:bottom w:val="single" w:sz="8" w:space="0" w:color="auto"/>
              <w:right w:val="single" w:sz="8" w:space="0" w:color="auto"/>
            </w:tcBorders>
            <w:shd w:val="clear" w:color="auto" w:fill="auto"/>
            <w:vAlign w:val="center"/>
            <w:hideMark/>
          </w:tcPr>
          <w:p w14:paraId="2C83766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8684071"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E83E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Import danych programu PCS z tankowania do programu magazynowego (rodzaj paliwa, indeks, imię nazwisko, marka pojazdu, numer rejestracyjny, cena za 1 litr, wartość łączna, objętość paliwa w temp. referencyjnej 15ºC, i automatyczne generowanie dokumentu RW do zatwierdzenia przez magazyniera.</w:t>
            </w:r>
          </w:p>
        </w:tc>
        <w:tc>
          <w:tcPr>
            <w:tcW w:w="850" w:type="dxa"/>
            <w:tcBorders>
              <w:top w:val="nil"/>
              <w:left w:val="nil"/>
              <w:bottom w:val="single" w:sz="8" w:space="0" w:color="auto"/>
              <w:right w:val="single" w:sz="8" w:space="0" w:color="auto"/>
            </w:tcBorders>
            <w:shd w:val="clear" w:color="auto" w:fill="auto"/>
            <w:vAlign w:val="center"/>
            <w:hideMark/>
          </w:tcPr>
          <w:p w14:paraId="7BC24F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2DAD5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7D0D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podpinania pod PZ dodatkowych dokumentów.</w:t>
            </w:r>
          </w:p>
        </w:tc>
        <w:tc>
          <w:tcPr>
            <w:tcW w:w="850" w:type="dxa"/>
            <w:tcBorders>
              <w:top w:val="nil"/>
              <w:left w:val="nil"/>
              <w:bottom w:val="single" w:sz="8" w:space="0" w:color="auto"/>
              <w:right w:val="single" w:sz="8" w:space="0" w:color="auto"/>
            </w:tcBorders>
            <w:shd w:val="clear" w:color="auto" w:fill="auto"/>
            <w:vAlign w:val="center"/>
            <w:hideMark/>
          </w:tcPr>
          <w:p w14:paraId="12775C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3054AE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5F6B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podpinania pod FZ (świadectwa jakości).</w:t>
            </w:r>
          </w:p>
        </w:tc>
        <w:tc>
          <w:tcPr>
            <w:tcW w:w="850" w:type="dxa"/>
            <w:tcBorders>
              <w:top w:val="nil"/>
              <w:left w:val="nil"/>
              <w:bottom w:val="single" w:sz="8" w:space="0" w:color="auto"/>
              <w:right w:val="single" w:sz="8" w:space="0" w:color="auto"/>
            </w:tcBorders>
            <w:shd w:val="clear" w:color="auto" w:fill="auto"/>
            <w:vAlign w:val="center"/>
            <w:hideMark/>
          </w:tcPr>
          <w:p w14:paraId="76A13F4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203D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175E1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GOSPODARKA ODPADAMI</w:t>
            </w:r>
          </w:p>
        </w:tc>
        <w:tc>
          <w:tcPr>
            <w:tcW w:w="850" w:type="dxa"/>
            <w:tcBorders>
              <w:top w:val="nil"/>
              <w:left w:val="nil"/>
              <w:bottom w:val="single" w:sz="8" w:space="0" w:color="auto"/>
              <w:right w:val="single" w:sz="8" w:space="0" w:color="auto"/>
            </w:tcBorders>
            <w:shd w:val="clear" w:color="000000" w:fill="A6A6A6"/>
            <w:vAlign w:val="center"/>
            <w:hideMark/>
          </w:tcPr>
          <w:p w14:paraId="2481F1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CEBAE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F1B8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Monitoring uzysku odpadów ze zleceń pomocniczych.</w:t>
            </w:r>
          </w:p>
        </w:tc>
        <w:tc>
          <w:tcPr>
            <w:tcW w:w="850" w:type="dxa"/>
            <w:tcBorders>
              <w:top w:val="nil"/>
              <w:left w:val="nil"/>
              <w:bottom w:val="single" w:sz="8" w:space="0" w:color="auto"/>
              <w:right w:val="single" w:sz="8" w:space="0" w:color="auto"/>
            </w:tcBorders>
            <w:shd w:val="clear" w:color="auto" w:fill="auto"/>
            <w:vAlign w:val="center"/>
            <w:hideMark/>
          </w:tcPr>
          <w:p w14:paraId="0F326F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84047E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88D50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Zarządzanie terminami i kosztami utylizacji odpadów.</w:t>
            </w:r>
          </w:p>
        </w:tc>
        <w:tc>
          <w:tcPr>
            <w:tcW w:w="850" w:type="dxa"/>
            <w:tcBorders>
              <w:top w:val="nil"/>
              <w:left w:val="nil"/>
              <w:bottom w:val="single" w:sz="8" w:space="0" w:color="auto"/>
              <w:right w:val="single" w:sz="8" w:space="0" w:color="auto"/>
            </w:tcBorders>
            <w:shd w:val="clear" w:color="auto" w:fill="auto"/>
            <w:vAlign w:val="center"/>
            <w:hideMark/>
          </w:tcPr>
          <w:p w14:paraId="5460FF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413BEF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1383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Gospodarka odpadami opakowaniowymi.</w:t>
            </w:r>
          </w:p>
        </w:tc>
        <w:tc>
          <w:tcPr>
            <w:tcW w:w="850" w:type="dxa"/>
            <w:tcBorders>
              <w:top w:val="nil"/>
              <w:left w:val="nil"/>
              <w:bottom w:val="single" w:sz="8" w:space="0" w:color="auto"/>
              <w:right w:val="single" w:sz="8" w:space="0" w:color="auto"/>
            </w:tcBorders>
            <w:shd w:val="clear" w:color="auto" w:fill="auto"/>
            <w:vAlign w:val="center"/>
            <w:hideMark/>
          </w:tcPr>
          <w:p w14:paraId="18A2AEA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F68840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91282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Wsparcie recyklingu.</w:t>
            </w:r>
          </w:p>
        </w:tc>
        <w:tc>
          <w:tcPr>
            <w:tcW w:w="850" w:type="dxa"/>
            <w:tcBorders>
              <w:top w:val="nil"/>
              <w:left w:val="nil"/>
              <w:bottom w:val="single" w:sz="8" w:space="0" w:color="auto"/>
              <w:right w:val="single" w:sz="8" w:space="0" w:color="auto"/>
            </w:tcBorders>
            <w:shd w:val="clear" w:color="auto" w:fill="auto"/>
            <w:vAlign w:val="center"/>
            <w:hideMark/>
          </w:tcPr>
          <w:p w14:paraId="7FBF0D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D4DF04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9E12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Słownik kodów BDO.</w:t>
            </w:r>
          </w:p>
        </w:tc>
        <w:tc>
          <w:tcPr>
            <w:tcW w:w="850" w:type="dxa"/>
            <w:tcBorders>
              <w:top w:val="nil"/>
              <w:left w:val="nil"/>
              <w:bottom w:val="single" w:sz="8" w:space="0" w:color="auto"/>
              <w:right w:val="single" w:sz="8" w:space="0" w:color="auto"/>
            </w:tcBorders>
            <w:shd w:val="clear" w:color="auto" w:fill="auto"/>
            <w:vAlign w:val="center"/>
            <w:hideMark/>
          </w:tcPr>
          <w:p w14:paraId="163012C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7A11E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06C6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Kontrola występowania dokumentu przyjęcia odpadu dla określonych dokumentów rozchodu materiałowego.</w:t>
            </w:r>
          </w:p>
        </w:tc>
        <w:tc>
          <w:tcPr>
            <w:tcW w:w="850" w:type="dxa"/>
            <w:tcBorders>
              <w:top w:val="nil"/>
              <w:left w:val="nil"/>
              <w:bottom w:val="single" w:sz="8" w:space="0" w:color="auto"/>
              <w:right w:val="single" w:sz="8" w:space="0" w:color="auto"/>
            </w:tcBorders>
            <w:shd w:val="clear" w:color="auto" w:fill="auto"/>
            <w:vAlign w:val="center"/>
            <w:hideMark/>
          </w:tcPr>
          <w:p w14:paraId="19049F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15B713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0EEF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Prowadzenie ewidencji kart odpadów KEO i przekazania odpadów KPO.</w:t>
            </w:r>
          </w:p>
        </w:tc>
        <w:tc>
          <w:tcPr>
            <w:tcW w:w="850" w:type="dxa"/>
            <w:tcBorders>
              <w:top w:val="nil"/>
              <w:left w:val="nil"/>
              <w:bottom w:val="single" w:sz="8" w:space="0" w:color="auto"/>
              <w:right w:val="single" w:sz="8" w:space="0" w:color="auto"/>
            </w:tcBorders>
            <w:shd w:val="clear" w:color="auto" w:fill="auto"/>
            <w:vAlign w:val="center"/>
            <w:hideMark/>
          </w:tcPr>
          <w:p w14:paraId="0EF53E1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4A8003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14012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Eksport KPO do systemu BDO.</w:t>
            </w:r>
          </w:p>
        </w:tc>
        <w:tc>
          <w:tcPr>
            <w:tcW w:w="850" w:type="dxa"/>
            <w:tcBorders>
              <w:top w:val="nil"/>
              <w:left w:val="nil"/>
              <w:bottom w:val="single" w:sz="8" w:space="0" w:color="auto"/>
              <w:right w:val="single" w:sz="8" w:space="0" w:color="auto"/>
            </w:tcBorders>
            <w:shd w:val="clear" w:color="auto" w:fill="auto"/>
            <w:vAlign w:val="center"/>
            <w:hideMark/>
          </w:tcPr>
          <w:p w14:paraId="067E41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A9E74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1C680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definicji miejsc przyjmowania odpadów (np. magazyn, lokalizacje spółki).</w:t>
            </w:r>
          </w:p>
        </w:tc>
        <w:tc>
          <w:tcPr>
            <w:tcW w:w="850" w:type="dxa"/>
            <w:tcBorders>
              <w:top w:val="nil"/>
              <w:left w:val="nil"/>
              <w:bottom w:val="single" w:sz="8" w:space="0" w:color="auto"/>
              <w:right w:val="single" w:sz="8" w:space="0" w:color="auto"/>
            </w:tcBorders>
            <w:shd w:val="clear" w:color="auto" w:fill="auto"/>
            <w:vAlign w:val="center"/>
            <w:hideMark/>
          </w:tcPr>
          <w:p w14:paraId="58D014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B6417E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19C7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Ewidencja metod postępowania z odpadami (odzysk, recykling, składowanie) zgodnie z symboliką określoną w "Ustawie o odpadach".</w:t>
            </w:r>
          </w:p>
        </w:tc>
        <w:tc>
          <w:tcPr>
            <w:tcW w:w="850" w:type="dxa"/>
            <w:tcBorders>
              <w:top w:val="nil"/>
              <w:left w:val="nil"/>
              <w:bottom w:val="single" w:sz="8" w:space="0" w:color="auto"/>
              <w:right w:val="single" w:sz="8" w:space="0" w:color="auto"/>
            </w:tcBorders>
            <w:shd w:val="clear" w:color="auto" w:fill="auto"/>
            <w:vAlign w:val="center"/>
            <w:hideMark/>
          </w:tcPr>
          <w:p w14:paraId="2DF4977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B200DC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F611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Automatyczne przypisywanie danego kodu odpadu, danej dostawy do właściwego zdefiniowanego wcześniej magazynu.</w:t>
            </w:r>
          </w:p>
        </w:tc>
        <w:tc>
          <w:tcPr>
            <w:tcW w:w="850" w:type="dxa"/>
            <w:tcBorders>
              <w:top w:val="nil"/>
              <w:left w:val="nil"/>
              <w:bottom w:val="single" w:sz="8" w:space="0" w:color="auto"/>
              <w:right w:val="single" w:sz="8" w:space="0" w:color="auto"/>
            </w:tcBorders>
            <w:shd w:val="clear" w:color="auto" w:fill="auto"/>
            <w:vAlign w:val="center"/>
            <w:hideMark/>
          </w:tcPr>
          <w:p w14:paraId="2006420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85086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BDD2E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Obsługa kart charakterystyki odpadów.</w:t>
            </w:r>
          </w:p>
        </w:tc>
        <w:tc>
          <w:tcPr>
            <w:tcW w:w="850" w:type="dxa"/>
            <w:tcBorders>
              <w:top w:val="nil"/>
              <w:left w:val="nil"/>
              <w:bottom w:val="single" w:sz="8" w:space="0" w:color="auto"/>
              <w:right w:val="single" w:sz="8" w:space="0" w:color="auto"/>
            </w:tcBorders>
            <w:shd w:val="clear" w:color="auto" w:fill="auto"/>
            <w:vAlign w:val="center"/>
            <w:hideMark/>
          </w:tcPr>
          <w:p w14:paraId="1850BD9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E4B4F4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9FBE5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Ewidencja i obsługa przyjęcia/wywozu odpadów/surowców.</w:t>
            </w:r>
          </w:p>
        </w:tc>
        <w:tc>
          <w:tcPr>
            <w:tcW w:w="850" w:type="dxa"/>
            <w:tcBorders>
              <w:top w:val="nil"/>
              <w:left w:val="nil"/>
              <w:bottom w:val="single" w:sz="8" w:space="0" w:color="auto"/>
              <w:right w:val="single" w:sz="8" w:space="0" w:color="auto"/>
            </w:tcBorders>
            <w:shd w:val="clear" w:color="auto" w:fill="auto"/>
            <w:vAlign w:val="center"/>
            <w:hideMark/>
          </w:tcPr>
          <w:p w14:paraId="795509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28DF3F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2D94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Ewidencja dziennika wywozu asortymentu/odpadów, surowców wtórnych, itp. z możliwością wprowadzenia wagi.</w:t>
            </w:r>
          </w:p>
        </w:tc>
        <w:tc>
          <w:tcPr>
            <w:tcW w:w="850" w:type="dxa"/>
            <w:tcBorders>
              <w:top w:val="nil"/>
              <w:left w:val="nil"/>
              <w:bottom w:val="single" w:sz="8" w:space="0" w:color="auto"/>
              <w:right w:val="single" w:sz="8" w:space="0" w:color="auto"/>
            </w:tcBorders>
            <w:shd w:val="clear" w:color="auto" w:fill="auto"/>
            <w:vAlign w:val="center"/>
            <w:hideMark/>
          </w:tcPr>
          <w:p w14:paraId="01AFDB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224964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D64D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Rejestracja ruchu asortymentu wewnątrz zakładu.</w:t>
            </w:r>
          </w:p>
        </w:tc>
        <w:tc>
          <w:tcPr>
            <w:tcW w:w="850" w:type="dxa"/>
            <w:tcBorders>
              <w:top w:val="nil"/>
              <w:left w:val="nil"/>
              <w:bottom w:val="single" w:sz="8" w:space="0" w:color="auto"/>
              <w:right w:val="single" w:sz="8" w:space="0" w:color="auto"/>
            </w:tcBorders>
            <w:shd w:val="clear" w:color="auto" w:fill="auto"/>
            <w:vAlign w:val="center"/>
            <w:hideMark/>
          </w:tcPr>
          <w:p w14:paraId="7A6E3C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1CBDC4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A632E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Sprawozdawczość dotycząca ilości przyjętych, odzyskanych i sprzedanych surowców w podziale na kody odpadów i okresy rozliczeniowe.</w:t>
            </w:r>
          </w:p>
        </w:tc>
        <w:tc>
          <w:tcPr>
            <w:tcW w:w="850" w:type="dxa"/>
            <w:tcBorders>
              <w:top w:val="nil"/>
              <w:left w:val="nil"/>
              <w:bottom w:val="single" w:sz="8" w:space="0" w:color="auto"/>
              <w:right w:val="single" w:sz="8" w:space="0" w:color="auto"/>
            </w:tcBorders>
            <w:shd w:val="clear" w:color="auto" w:fill="auto"/>
            <w:vAlign w:val="center"/>
            <w:hideMark/>
          </w:tcPr>
          <w:p w14:paraId="02FCA8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20A05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CD60C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GOSPODARKA WODOMIERZOWA</w:t>
            </w:r>
          </w:p>
        </w:tc>
        <w:tc>
          <w:tcPr>
            <w:tcW w:w="850" w:type="dxa"/>
            <w:tcBorders>
              <w:top w:val="nil"/>
              <w:left w:val="nil"/>
              <w:bottom w:val="single" w:sz="8" w:space="0" w:color="auto"/>
              <w:right w:val="single" w:sz="8" w:space="0" w:color="auto"/>
            </w:tcBorders>
            <w:shd w:val="clear" w:color="000000" w:fill="A6A6A6"/>
            <w:vAlign w:val="center"/>
            <w:hideMark/>
          </w:tcPr>
          <w:p w14:paraId="06073F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E502931"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B3DA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Zarządzanie pełnym cyklem życia poszczególnej sztuki wodomierza (i pozostałych urządzeń składających się na układ pomiarowy), tj. zakup, przyjęcie na magazyn, przesunięcie na magazyn, wydanie do montażu na sieci, montaż na sieci, demontaż z sieci, wydanie do legalizacji, ekspertyzy, złomowania (różne magazyny).</w:t>
            </w:r>
          </w:p>
        </w:tc>
        <w:tc>
          <w:tcPr>
            <w:tcW w:w="850" w:type="dxa"/>
            <w:tcBorders>
              <w:top w:val="nil"/>
              <w:left w:val="nil"/>
              <w:bottom w:val="single" w:sz="8" w:space="0" w:color="auto"/>
              <w:right w:val="single" w:sz="8" w:space="0" w:color="auto"/>
            </w:tcBorders>
            <w:shd w:val="clear" w:color="auto" w:fill="auto"/>
            <w:vAlign w:val="center"/>
            <w:hideMark/>
          </w:tcPr>
          <w:p w14:paraId="6BD0A4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73D4E0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4914F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Ewidencja wszystkich liczników, modułów i nakładek radiowych zarejestrowanych w systemie (wraz z historią oraz szybkim z podglądem dokumentów powiązanych z wybranym licznikiem).</w:t>
            </w:r>
          </w:p>
        </w:tc>
        <w:tc>
          <w:tcPr>
            <w:tcW w:w="850" w:type="dxa"/>
            <w:tcBorders>
              <w:top w:val="nil"/>
              <w:left w:val="nil"/>
              <w:bottom w:val="single" w:sz="8" w:space="0" w:color="auto"/>
              <w:right w:val="single" w:sz="8" w:space="0" w:color="auto"/>
            </w:tcBorders>
            <w:shd w:val="clear" w:color="auto" w:fill="auto"/>
            <w:vAlign w:val="center"/>
            <w:hideMark/>
          </w:tcPr>
          <w:p w14:paraId="22B7261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0549AE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E7E8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Współpraca z czytnikami kodów kreskowych w zakresie przyjęć i wydań.</w:t>
            </w:r>
          </w:p>
        </w:tc>
        <w:tc>
          <w:tcPr>
            <w:tcW w:w="850" w:type="dxa"/>
            <w:tcBorders>
              <w:top w:val="nil"/>
              <w:left w:val="nil"/>
              <w:bottom w:val="single" w:sz="8" w:space="0" w:color="auto"/>
              <w:right w:val="single" w:sz="8" w:space="0" w:color="auto"/>
            </w:tcBorders>
            <w:shd w:val="clear" w:color="auto" w:fill="auto"/>
            <w:vAlign w:val="center"/>
            <w:hideMark/>
          </w:tcPr>
          <w:p w14:paraId="1CC9447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E2781F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C6FA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 Ewidencja typów liczników, nakładek zawierająca szczegółowe dane techniczne, karty gwarancyjne. </w:t>
            </w:r>
          </w:p>
        </w:tc>
        <w:tc>
          <w:tcPr>
            <w:tcW w:w="850" w:type="dxa"/>
            <w:tcBorders>
              <w:top w:val="nil"/>
              <w:left w:val="nil"/>
              <w:bottom w:val="single" w:sz="8" w:space="0" w:color="auto"/>
              <w:right w:val="single" w:sz="8" w:space="0" w:color="auto"/>
            </w:tcBorders>
            <w:shd w:val="clear" w:color="auto" w:fill="auto"/>
            <w:vAlign w:val="center"/>
            <w:hideMark/>
          </w:tcPr>
          <w:p w14:paraId="0492C8A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39AFA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B17A0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 Ewidencja producentów i dostawców liczników.</w:t>
            </w:r>
          </w:p>
        </w:tc>
        <w:tc>
          <w:tcPr>
            <w:tcW w:w="850" w:type="dxa"/>
            <w:tcBorders>
              <w:top w:val="nil"/>
              <w:left w:val="nil"/>
              <w:bottom w:val="single" w:sz="8" w:space="0" w:color="auto"/>
              <w:right w:val="single" w:sz="8" w:space="0" w:color="auto"/>
            </w:tcBorders>
            <w:shd w:val="clear" w:color="auto" w:fill="auto"/>
            <w:vAlign w:val="center"/>
            <w:hideMark/>
          </w:tcPr>
          <w:p w14:paraId="5FA454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35DFB9"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1431D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Prowadzenie rejestracji poniższych danych:</w:t>
            </w:r>
            <w:r w:rsidRPr="00B97E7A">
              <w:rPr>
                <w:rFonts w:ascii="Times New Roman" w:eastAsia="Times New Roman" w:hAnsi="Times New Roman" w:cs="Times New Roman"/>
                <w:kern w:val="0"/>
                <w:sz w:val="28"/>
                <w:szCs w:val="28"/>
                <w:lang w:eastAsia="pl-PL"/>
                <w14:ligatures w14:val="none"/>
              </w:rPr>
              <w:br/>
              <w:t>6.1. numer fabryczny oraz nazwa producenta wodomierza (dla wodomierzy sprzężonych dwa numery),</w:t>
            </w:r>
            <w:r w:rsidRPr="00B97E7A">
              <w:rPr>
                <w:rFonts w:ascii="Times New Roman" w:eastAsia="Times New Roman" w:hAnsi="Times New Roman" w:cs="Times New Roman"/>
                <w:kern w:val="0"/>
                <w:sz w:val="28"/>
                <w:szCs w:val="28"/>
                <w:lang w:eastAsia="pl-PL"/>
                <w14:ligatures w14:val="none"/>
              </w:rPr>
              <w:br/>
              <w:t>6.2. średnica wodomierza (dla wodomierzy sprzężonych dwie średnice),</w:t>
            </w:r>
            <w:r w:rsidRPr="00B97E7A">
              <w:rPr>
                <w:rFonts w:ascii="Times New Roman" w:eastAsia="Times New Roman" w:hAnsi="Times New Roman" w:cs="Times New Roman"/>
                <w:kern w:val="0"/>
                <w:sz w:val="28"/>
                <w:szCs w:val="28"/>
                <w:lang w:eastAsia="pl-PL"/>
                <w14:ligatures w14:val="none"/>
              </w:rPr>
              <w:br/>
              <w:t>6.3. typ wodomierza (wybór ze słownika),</w:t>
            </w:r>
            <w:r w:rsidRPr="00B97E7A">
              <w:rPr>
                <w:rFonts w:ascii="Times New Roman" w:eastAsia="Times New Roman" w:hAnsi="Times New Roman" w:cs="Times New Roman"/>
                <w:kern w:val="0"/>
                <w:sz w:val="28"/>
                <w:szCs w:val="28"/>
                <w:lang w:eastAsia="pl-PL"/>
                <w14:ligatures w14:val="none"/>
              </w:rPr>
              <w:br/>
              <w:t>6.4. bieżący status licznika np. w sieci, ekspertyza, demontaż za zadłużenie, demontaż czasowy, zagubiony, zlikwidowany, naprawa, użytkownika i inne (wybór ze słownika).</w:t>
            </w:r>
          </w:p>
        </w:tc>
        <w:tc>
          <w:tcPr>
            <w:tcW w:w="850" w:type="dxa"/>
            <w:tcBorders>
              <w:top w:val="nil"/>
              <w:left w:val="nil"/>
              <w:bottom w:val="single" w:sz="8" w:space="0" w:color="auto"/>
              <w:right w:val="single" w:sz="8" w:space="0" w:color="auto"/>
            </w:tcBorders>
            <w:shd w:val="clear" w:color="auto" w:fill="auto"/>
            <w:vAlign w:val="center"/>
            <w:hideMark/>
          </w:tcPr>
          <w:p w14:paraId="0FCA053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8D6A5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D49B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Znacznik „nowy wodomierz”, „po legalizacji”.</w:t>
            </w:r>
          </w:p>
        </w:tc>
        <w:tc>
          <w:tcPr>
            <w:tcW w:w="850" w:type="dxa"/>
            <w:tcBorders>
              <w:top w:val="nil"/>
              <w:left w:val="nil"/>
              <w:bottom w:val="single" w:sz="8" w:space="0" w:color="auto"/>
              <w:right w:val="single" w:sz="8" w:space="0" w:color="auto"/>
            </w:tcBorders>
            <w:shd w:val="clear" w:color="auto" w:fill="auto"/>
            <w:vAlign w:val="center"/>
            <w:hideMark/>
          </w:tcPr>
          <w:p w14:paraId="445EF29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AACC24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3468A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Data legalizacji (rok, miesiąc, dzień, domyślnie po podaniu roku pojawia się 1 stycznia).</w:t>
            </w:r>
          </w:p>
        </w:tc>
        <w:tc>
          <w:tcPr>
            <w:tcW w:w="850" w:type="dxa"/>
            <w:tcBorders>
              <w:top w:val="nil"/>
              <w:left w:val="nil"/>
              <w:bottom w:val="single" w:sz="8" w:space="0" w:color="auto"/>
              <w:right w:val="single" w:sz="8" w:space="0" w:color="auto"/>
            </w:tcBorders>
            <w:shd w:val="clear" w:color="auto" w:fill="auto"/>
            <w:vAlign w:val="center"/>
            <w:hideMark/>
          </w:tcPr>
          <w:p w14:paraId="229F0C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400C93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A63A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Przewidywana data przydatności (rok, miesiąc, dzień, z możliwością określenia domyślnej daty dla całej dostawy oraz jej modyfikacji dla poszczególnych wodomierzy).</w:t>
            </w:r>
          </w:p>
        </w:tc>
        <w:tc>
          <w:tcPr>
            <w:tcW w:w="850" w:type="dxa"/>
            <w:tcBorders>
              <w:top w:val="nil"/>
              <w:left w:val="nil"/>
              <w:bottom w:val="single" w:sz="8" w:space="0" w:color="auto"/>
              <w:right w:val="single" w:sz="8" w:space="0" w:color="auto"/>
            </w:tcBorders>
            <w:shd w:val="clear" w:color="auto" w:fill="auto"/>
            <w:vAlign w:val="center"/>
            <w:hideMark/>
          </w:tcPr>
          <w:p w14:paraId="64267F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87D17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34073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Definiowanie słowników:</w:t>
            </w:r>
          </w:p>
        </w:tc>
        <w:tc>
          <w:tcPr>
            <w:tcW w:w="850" w:type="dxa"/>
            <w:tcBorders>
              <w:top w:val="nil"/>
              <w:left w:val="nil"/>
              <w:bottom w:val="single" w:sz="8" w:space="0" w:color="auto"/>
              <w:right w:val="single" w:sz="8" w:space="0" w:color="auto"/>
            </w:tcBorders>
            <w:shd w:val="clear" w:color="000000" w:fill="A6A6A6"/>
            <w:vAlign w:val="center"/>
            <w:hideMark/>
          </w:tcPr>
          <w:p w14:paraId="70069B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FBC004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F1A1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10.1. lokalizacja (np. w magazynie, w samochodzie, u użytkownika, w legalizacji, usunięty z ewidencji),</w:t>
            </w:r>
          </w:p>
        </w:tc>
        <w:tc>
          <w:tcPr>
            <w:tcW w:w="850" w:type="dxa"/>
            <w:tcBorders>
              <w:top w:val="nil"/>
              <w:left w:val="nil"/>
              <w:bottom w:val="single" w:sz="8" w:space="0" w:color="auto"/>
              <w:right w:val="single" w:sz="8" w:space="0" w:color="auto"/>
            </w:tcBorders>
            <w:shd w:val="clear" w:color="auto" w:fill="auto"/>
            <w:vAlign w:val="center"/>
            <w:hideMark/>
          </w:tcPr>
          <w:p w14:paraId="2DC8E9B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78CE0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62B37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10.2. właściciel (np. przedsiębiorstwo, odbiorca, wodomierze obcych firm),</w:t>
            </w:r>
          </w:p>
        </w:tc>
        <w:tc>
          <w:tcPr>
            <w:tcW w:w="850" w:type="dxa"/>
            <w:tcBorders>
              <w:top w:val="nil"/>
              <w:left w:val="nil"/>
              <w:bottom w:val="single" w:sz="8" w:space="0" w:color="auto"/>
              <w:right w:val="single" w:sz="8" w:space="0" w:color="auto"/>
            </w:tcBorders>
            <w:shd w:val="clear" w:color="auto" w:fill="auto"/>
            <w:vAlign w:val="center"/>
            <w:hideMark/>
          </w:tcPr>
          <w:p w14:paraId="778C1E7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5F844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85FC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10.3. rodzaje usterek.</w:t>
            </w:r>
          </w:p>
        </w:tc>
        <w:tc>
          <w:tcPr>
            <w:tcW w:w="850" w:type="dxa"/>
            <w:tcBorders>
              <w:top w:val="nil"/>
              <w:left w:val="nil"/>
              <w:bottom w:val="single" w:sz="8" w:space="0" w:color="auto"/>
              <w:right w:val="single" w:sz="8" w:space="0" w:color="auto"/>
            </w:tcBorders>
            <w:shd w:val="clear" w:color="auto" w:fill="auto"/>
            <w:vAlign w:val="center"/>
            <w:hideMark/>
          </w:tcPr>
          <w:p w14:paraId="2D3F24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947DFB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631C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Automatyczna oraz ręczna ewidencja zdarzeń innych na wodomierzu (np. legalizacje, naprawy, likwidacje, zniszczenia, kradzieże i inne).</w:t>
            </w:r>
          </w:p>
        </w:tc>
        <w:tc>
          <w:tcPr>
            <w:tcW w:w="850" w:type="dxa"/>
            <w:tcBorders>
              <w:top w:val="nil"/>
              <w:left w:val="nil"/>
              <w:bottom w:val="single" w:sz="8" w:space="0" w:color="auto"/>
              <w:right w:val="single" w:sz="8" w:space="0" w:color="auto"/>
            </w:tcBorders>
            <w:shd w:val="clear" w:color="auto" w:fill="auto"/>
            <w:vAlign w:val="center"/>
            <w:hideMark/>
          </w:tcPr>
          <w:p w14:paraId="0E4ADE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58495C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5F82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przedłużenia daty przydatności z zapisem historii i opisem powodu przedłużenia po naprawie lub legalizacji wodomierza.</w:t>
            </w:r>
          </w:p>
        </w:tc>
        <w:tc>
          <w:tcPr>
            <w:tcW w:w="850" w:type="dxa"/>
            <w:tcBorders>
              <w:top w:val="nil"/>
              <w:left w:val="nil"/>
              <w:bottom w:val="single" w:sz="8" w:space="0" w:color="auto"/>
              <w:right w:val="single" w:sz="8" w:space="0" w:color="auto"/>
            </w:tcBorders>
            <w:shd w:val="clear" w:color="auto" w:fill="auto"/>
            <w:vAlign w:val="center"/>
            <w:hideMark/>
          </w:tcPr>
          <w:p w14:paraId="3C10A4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6F7344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72B8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Monitorowanie terminów legalizacyjnych wodomierzy. Automatyczne generowanie zamówień na legalizację zewnętrzną.</w:t>
            </w:r>
          </w:p>
        </w:tc>
        <w:tc>
          <w:tcPr>
            <w:tcW w:w="850" w:type="dxa"/>
            <w:tcBorders>
              <w:top w:val="nil"/>
              <w:left w:val="nil"/>
              <w:bottom w:val="single" w:sz="8" w:space="0" w:color="auto"/>
              <w:right w:val="single" w:sz="8" w:space="0" w:color="auto"/>
            </w:tcBorders>
            <w:shd w:val="clear" w:color="auto" w:fill="auto"/>
            <w:vAlign w:val="center"/>
            <w:hideMark/>
          </w:tcPr>
          <w:p w14:paraId="0E2686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BDBEE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9E96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rozbudowy kartotek wodomierzy za pomocą pól użytkownika.</w:t>
            </w:r>
          </w:p>
        </w:tc>
        <w:tc>
          <w:tcPr>
            <w:tcW w:w="850" w:type="dxa"/>
            <w:tcBorders>
              <w:top w:val="nil"/>
              <w:left w:val="nil"/>
              <w:bottom w:val="single" w:sz="8" w:space="0" w:color="auto"/>
              <w:right w:val="single" w:sz="8" w:space="0" w:color="auto"/>
            </w:tcBorders>
            <w:shd w:val="clear" w:color="auto" w:fill="auto"/>
            <w:vAlign w:val="center"/>
            <w:hideMark/>
          </w:tcPr>
          <w:p w14:paraId="52F1A11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9704DC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52868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Alerty informujące o gwarancji danego urządzenia przyjmowanego do magazynu z demontażu.</w:t>
            </w:r>
          </w:p>
        </w:tc>
        <w:tc>
          <w:tcPr>
            <w:tcW w:w="850" w:type="dxa"/>
            <w:tcBorders>
              <w:top w:val="nil"/>
              <w:left w:val="nil"/>
              <w:bottom w:val="single" w:sz="8" w:space="0" w:color="auto"/>
              <w:right w:val="single" w:sz="8" w:space="0" w:color="auto"/>
            </w:tcBorders>
            <w:shd w:val="clear" w:color="auto" w:fill="auto"/>
            <w:vAlign w:val="center"/>
            <w:hideMark/>
          </w:tcPr>
          <w:p w14:paraId="0500C4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B378F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656C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16. Generowanie dokumentów PW na podstawie wodomierzy przekazanych do likwidacji.</w:t>
            </w:r>
          </w:p>
        </w:tc>
        <w:tc>
          <w:tcPr>
            <w:tcW w:w="850" w:type="dxa"/>
            <w:tcBorders>
              <w:top w:val="nil"/>
              <w:left w:val="nil"/>
              <w:bottom w:val="single" w:sz="8" w:space="0" w:color="auto"/>
              <w:right w:val="single" w:sz="8" w:space="0" w:color="auto"/>
            </w:tcBorders>
            <w:shd w:val="clear" w:color="auto" w:fill="auto"/>
            <w:vAlign w:val="center"/>
            <w:hideMark/>
          </w:tcPr>
          <w:p w14:paraId="321222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847B4D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34920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Ewidencja kosztów napraw wodomierzy wewnętrznych i zewnętrznych.</w:t>
            </w:r>
          </w:p>
        </w:tc>
        <w:tc>
          <w:tcPr>
            <w:tcW w:w="850" w:type="dxa"/>
            <w:tcBorders>
              <w:top w:val="nil"/>
              <w:left w:val="nil"/>
              <w:bottom w:val="single" w:sz="8" w:space="0" w:color="auto"/>
              <w:right w:val="single" w:sz="8" w:space="0" w:color="auto"/>
            </w:tcBorders>
            <w:shd w:val="clear" w:color="auto" w:fill="auto"/>
            <w:vAlign w:val="center"/>
            <w:hideMark/>
          </w:tcPr>
          <w:p w14:paraId="57D382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EC2CF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F10E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Planowanie zakupów części do napraw na podstawie rocznego planu wymian.</w:t>
            </w:r>
          </w:p>
        </w:tc>
        <w:tc>
          <w:tcPr>
            <w:tcW w:w="850" w:type="dxa"/>
            <w:tcBorders>
              <w:top w:val="nil"/>
              <w:left w:val="nil"/>
              <w:bottom w:val="single" w:sz="8" w:space="0" w:color="auto"/>
              <w:right w:val="single" w:sz="8" w:space="0" w:color="auto"/>
            </w:tcBorders>
            <w:shd w:val="clear" w:color="auto" w:fill="auto"/>
            <w:vAlign w:val="center"/>
            <w:hideMark/>
          </w:tcPr>
          <w:p w14:paraId="37C209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0F2AD5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86A11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G. OBSZAR ZARZĄDZANIA NARZĘDZIOWNIĄ</w:t>
            </w:r>
          </w:p>
        </w:tc>
        <w:tc>
          <w:tcPr>
            <w:tcW w:w="850" w:type="dxa"/>
            <w:tcBorders>
              <w:top w:val="nil"/>
              <w:left w:val="nil"/>
              <w:bottom w:val="single" w:sz="8" w:space="0" w:color="auto"/>
              <w:right w:val="single" w:sz="8" w:space="0" w:color="auto"/>
            </w:tcBorders>
            <w:shd w:val="clear" w:color="000000" w:fill="A6A6A6"/>
            <w:vAlign w:val="center"/>
            <w:hideMark/>
          </w:tcPr>
          <w:p w14:paraId="1BDF4F5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C0B95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F0D76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Rejestracja kartotek narzędzi, elektronarzędzi oraz maszyn.</w:t>
            </w:r>
          </w:p>
        </w:tc>
        <w:tc>
          <w:tcPr>
            <w:tcW w:w="850" w:type="dxa"/>
            <w:tcBorders>
              <w:top w:val="nil"/>
              <w:left w:val="nil"/>
              <w:bottom w:val="single" w:sz="8" w:space="0" w:color="auto"/>
              <w:right w:val="single" w:sz="8" w:space="0" w:color="auto"/>
            </w:tcBorders>
            <w:shd w:val="clear" w:color="auto" w:fill="auto"/>
            <w:vAlign w:val="center"/>
            <w:hideMark/>
          </w:tcPr>
          <w:p w14:paraId="2A8504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E838F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60C2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Podział narzędzi na zamortyzowane i niezamortyzowane.</w:t>
            </w:r>
          </w:p>
        </w:tc>
        <w:tc>
          <w:tcPr>
            <w:tcW w:w="850" w:type="dxa"/>
            <w:tcBorders>
              <w:top w:val="nil"/>
              <w:left w:val="nil"/>
              <w:bottom w:val="single" w:sz="8" w:space="0" w:color="auto"/>
              <w:right w:val="single" w:sz="8" w:space="0" w:color="auto"/>
            </w:tcBorders>
            <w:shd w:val="clear" w:color="auto" w:fill="auto"/>
            <w:vAlign w:val="center"/>
            <w:hideMark/>
          </w:tcPr>
          <w:p w14:paraId="621EE29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402EF8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DD26D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Pełna dokumentacja wydań oraz przyjęć poszczególnych narzędzi.</w:t>
            </w:r>
          </w:p>
        </w:tc>
        <w:tc>
          <w:tcPr>
            <w:tcW w:w="850" w:type="dxa"/>
            <w:tcBorders>
              <w:top w:val="nil"/>
              <w:left w:val="nil"/>
              <w:bottom w:val="single" w:sz="8" w:space="0" w:color="auto"/>
              <w:right w:val="single" w:sz="8" w:space="0" w:color="auto"/>
            </w:tcBorders>
            <w:shd w:val="clear" w:color="auto" w:fill="auto"/>
            <w:vAlign w:val="center"/>
            <w:hideMark/>
          </w:tcPr>
          <w:p w14:paraId="672866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68803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AC6AD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archiwizacji wydań, przyjęć i zwrotów.</w:t>
            </w:r>
          </w:p>
        </w:tc>
        <w:tc>
          <w:tcPr>
            <w:tcW w:w="850" w:type="dxa"/>
            <w:tcBorders>
              <w:top w:val="nil"/>
              <w:left w:val="nil"/>
              <w:bottom w:val="single" w:sz="8" w:space="0" w:color="auto"/>
              <w:right w:val="single" w:sz="8" w:space="0" w:color="auto"/>
            </w:tcBorders>
            <w:shd w:val="clear" w:color="auto" w:fill="auto"/>
            <w:vAlign w:val="center"/>
            <w:hideMark/>
          </w:tcPr>
          <w:p w14:paraId="248C38B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5A871C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0AF57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Przechowywanie informacji o czasie wynajmowanego sprzętu, miejscu pobytu oraz osobie użytkującej.</w:t>
            </w:r>
          </w:p>
        </w:tc>
        <w:tc>
          <w:tcPr>
            <w:tcW w:w="850" w:type="dxa"/>
            <w:tcBorders>
              <w:top w:val="nil"/>
              <w:left w:val="nil"/>
              <w:bottom w:val="single" w:sz="8" w:space="0" w:color="auto"/>
              <w:right w:val="single" w:sz="8" w:space="0" w:color="auto"/>
            </w:tcBorders>
            <w:shd w:val="clear" w:color="auto" w:fill="auto"/>
            <w:vAlign w:val="center"/>
            <w:hideMark/>
          </w:tcPr>
          <w:p w14:paraId="35771D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DFDB05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213B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Identyfikacja zasobów poprzez użycie kodów QR odczytywanych przy użyciu telefonu lub tabletu.</w:t>
            </w:r>
          </w:p>
        </w:tc>
        <w:tc>
          <w:tcPr>
            <w:tcW w:w="850" w:type="dxa"/>
            <w:tcBorders>
              <w:top w:val="nil"/>
              <w:left w:val="nil"/>
              <w:bottom w:val="single" w:sz="8" w:space="0" w:color="auto"/>
              <w:right w:val="single" w:sz="8" w:space="0" w:color="auto"/>
            </w:tcBorders>
            <w:shd w:val="clear" w:color="auto" w:fill="auto"/>
            <w:vAlign w:val="center"/>
            <w:hideMark/>
          </w:tcPr>
          <w:p w14:paraId="07E818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22ADBA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63C4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Automatyczne akcje i wydruki np. powiadomienie o zbliżającym się terminie ważności gwarancji elektronarzędzia, przeglądu gwarancyjnego elektronarzędzia, badania hałasu i wibracji, legalizacji.</w:t>
            </w:r>
          </w:p>
        </w:tc>
        <w:tc>
          <w:tcPr>
            <w:tcW w:w="850" w:type="dxa"/>
            <w:tcBorders>
              <w:top w:val="nil"/>
              <w:left w:val="nil"/>
              <w:bottom w:val="single" w:sz="8" w:space="0" w:color="auto"/>
              <w:right w:val="single" w:sz="8" w:space="0" w:color="auto"/>
            </w:tcBorders>
            <w:shd w:val="clear" w:color="auto" w:fill="auto"/>
            <w:vAlign w:val="center"/>
            <w:hideMark/>
          </w:tcPr>
          <w:p w14:paraId="6672EE3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8E6C80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3862D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Pełna historia obiektu (wydania, przyjęcia, serwis, przeglądy, itp.) w historii na karcie narzędzia, elektronarzędzia lub maszyny.</w:t>
            </w:r>
          </w:p>
        </w:tc>
        <w:tc>
          <w:tcPr>
            <w:tcW w:w="850" w:type="dxa"/>
            <w:tcBorders>
              <w:top w:val="nil"/>
              <w:left w:val="nil"/>
              <w:bottom w:val="single" w:sz="8" w:space="0" w:color="auto"/>
              <w:right w:val="single" w:sz="8" w:space="0" w:color="auto"/>
            </w:tcBorders>
            <w:shd w:val="clear" w:color="auto" w:fill="auto"/>
            <w:vAlign w:val="center"/>
            <w:hideMark/>
          </w:tcPr>
          <w:p w14:paraId="0B33AFA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15271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9482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tworzenia kalendarzy zasobów narzędzi:</w:t>
            </w:r>
          </w:p>
        </w:tc>
        <w:tc>
          <w:tcPr>
            <w:tcW w:w="850" w:type="dxa"/>
            <w:tcBorders>
              <w:top w:val="nil"/>
              <w:left w:val="nil"/>
              <w:bottom w:val="single" w:sz="8" w:space="0" w:color="auto"/>
              <w:right w:val="single" w:sz="8" w:space="0" w:color="auto"/>
            </w:tcBorders>
            <w:shd w:val="clear" w:color="000000" w:fill="A6A6A6"/>
            <w:vAlign w:val="center"/>
            <w:hideMark/>
          </w:tcPr>
          <w:p w14:paraId="644CCC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6297E0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E6E21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9.1. rejestracja, monitorowanie wydarzeń w kalendarzu zasobów,</w:t>
            </w:r>
          </w:p>
        </w:tc>
        <w:tc>
          <w:tcPr>
            <w:tcW w:w="850" w:type="dxa"/>
            <w:tcBorders>
              <w:top w:val="nil"/>
              <w:left w:val="nil"/>
              <w:bottom w:val="single" w:sz="8" w:space="0" w:color="auto"/>
              <w:right w:val="single" w:sz="8" w:space="0" w:color="auto"/>
            </w:tcBorders>
            <w:shd w:val="clear" w:color="auto" w:fill="auto"/>
            <w:vAlign w:val="center"/>
            <w:hideMark/>
          </w:tcPr>
          <w:p w14:paraId="6E7B2A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925211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D537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9.2. tworzenie dokumentów rezerwacji,</w:t>
            </w:r>
          </w:p>
        </w:tc>
        <w:tc>
          <w:tcPr>
            <w:tcW w:w="850" w:type="dxa"/>
            <w:tcBorders>
              <w:top w:val="nil"/>
              <w:left w:val="nil"/>
              <w:bottom w:val="single" w:sz="8" w:space="0" w:color="auto"/>
              <w:right w:val="single" w:sz="8" w:space="0" w:color="auto"/>
            </w:tcBorders>
            <w:shd w:val="clear" w:color="auto" w:fill="auto"/>
            <w:vAlign w:val="center"/>
            <w:hideMark/>
          </w:tcPr>
          <w:p w14:paraId="0EB74D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1448E7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740CF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9.3. możliwość monitorowania zarezerwowanego sprzętu,</w:t>
            </w:r>
          </w:p>
        </w:tc>
        <w:tc>
          <w:tcPr>
            <w:tcW w:w="850" w:type="dxa"/>
            <w:tcBorders>
              <w:top w:val="nil"/>
              <w:left w:val="nil"/>
              <w:bottom w:val="single" w:sz="8" w:space="0" w:color="auto"/>
              <w:right w:val="single" w:sz="8" w:space="0" w:color="auto"/>
            </w:tcBorders>
            <w:shd w:val="clear" w:color="auto" w:fill="auto"/>
            <w:vAlign w:val="center"/>
            <w:hideMark/>
          </w:tcPr>
          <w:p w14:paraId="4F2172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446046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1B33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9.4. możliwość potwierdzenia/odrzucenia rezerwacji,</w:t>
            </w:r>
          </w:p>
        </w:tc>
        <w:tc>
          <w:tcPr>
            <w:tcW w:w="850" w:type="dxa"/>
            <w:tcBorders>
              <w:top w:val="nil"/>
              <w:left w:val="nil"/>
              <w:bottom w:val="single" w:sz="8" w:space="0" w:color="auto"/>
              <w:right w:val="single" w:sz="8" w:space="0" w:color="auto"/>
            </w:tcBorders>
            <w:shd w:val="clear" w:color="auto" w:fill="auto"/>
            <w:vAlign w:val="center"/>
            <w:hideMark/>
          </w:tcPr>
          <w:p w14:paraId="048A9A1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83F6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2499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9.5. utworzenie wpisu w kalendarzu z dokumentu rezerwacji.</w:t>
            </w:r>
          </w:p>
        </w:tc>
        <w:tc>
          <w:tcPr>
            <w:tcW w:w="850" w:type="dxa"/>
            <w:tcBorders>
              <w:top w:val="nil"/>
              <w:left w:val="nil"/>
              <w:bottom w:val="single" w:sz="8" w:space="0" w:color="auto"/>
              <w:right w:val="single" w:sz="8" w:space="0" w:color="auto"/>
            </w:tcBorders>
            <w:shd w:val="clear" w:color="auto" w:fill="auto"/>
            <w:vAlign w:val="center"/>
            <w:hideMark/>
          </w:tcPr>
          <w:p w14:paraId="202362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1B3040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8A920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tworzenia raportów np. różnice – zużyte paliwo/według normy, czas pracy narzędzi, raport wynajętych sprzętów/maszyn według pracownika, dostępne stany narzędzi, elektronarzędzi, maszyn.</w:t>
            </w:r>
          </w:p>
        </w:tc>
        <w:tc>
          <w:tcPr>
            <w:tcW w:w="850" w:type="dxa"/>
            <w:tcBorders>
              <w:top w:val="nil"/>
              <w:left w:val="nil"/>
              <w:bottom w:val="single" w:sz="8" w:space="0" w:color="auto"/>
              <w:right w:val="single" w:sz="8" w:space="0" w:color="auto"/>
            </w:tcBorders>
            <w:shd w:val="clear" w:color="auto" w:fill="auto"/>
            <w:vAlign w:val="center"/>
            <w:hideMark/>
          </w:tcPr>
          <w:p w14:paraId="6410C0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E08707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AEE9C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Tworzenie kart narzędzi, elektronarzędzi oraz maszyn zawierających:</w:t>
            </w:r>
          </w:p>
        </w:tc>
        <w:tc>
          <w:tcPr>
            <w:tcW w:w="850" w:type="dxa"/>
            <w:tcBorders>
              <w:top w:val="nil"/>
              <w:left w:val="nil"/>
              <w:bottom w:val="single" w:sz="8" w:space="0" w:color="auto"/>
              <w:right w:val="single" w:sz="8" w:space="0" w:color="auto"/>
            </w:tcBorders>
            <w:shd w:val="clear" w:color="000000" w:fill="A6A6A6"/>
            <w:vAlign w:val="center"/>
            <w:hideMark/>
          </w:tcPr>
          <w:p w14:paraId="004BFB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166E36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D07D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Nazwę urządzania,</w:t>
            </w:r>
          </w:p>
        </w:tc>
        <w:tc>
          <w:tcPr>
            <w:tcW w:w="850" w:type="dxa"/>
            <w:tcBorders>
              <w:top w:val="nil"/>
              <w:left w:val="nil"/>
              <w:bottom w:val="single" w:sz="8" w:space="0" w:color="auto"/>
              <w:right w:val="single" w:sz="8" w:space="0" w:color="auto"/>
            </w:tcBorders>
            <w:shd w:val="clear" w:color="auto" w:fill="auto"/>
            <w:vAlign w:val="center"/>
            <w:hideMark/>
          </w:tcPr>
          <w:p w14:paraId="6D66877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EE72CC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2EA8E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Datę zakupu,</w:t>
            </w:r>
          </w:p>
        </w:tc>
        <w:tc>
          <w:tcPr>
            <w:tcW w:w="850" w:type="dxa"/>
            <w:tcBorders>
              <w:top w:val="nil"/>
              <w:left w:val="nil"/>
              <w:bottom w:val="single" w:sz="8" w:space="0" w:color="auto"/>
              <w:right w:val="single" w:sz="8" w:space="0" w:color="auto"/>
            </w:tcBorders>
            <w:shd w:val="clear" w:color="auto" w:fill="auto"/>
            <w:vAlign w:val="center"/>
            <w:hideMark/>
          </w:tcPr>
          <w:p w14:paraId="20119E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70EDF4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AECD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Przypisany do nich kod QR oraz numer inwentarzowy urządzenia,</w:t>
            </w:r>
          </w:p>
        </w:tc>
        <w:tc>
          <w:tcPr>
            <w:tcW w:w="850" w:type="dxa"/>
            <w:tcBorders>
              <w:top w:val="nil"/>
              <w:left w:val="nil"/>
              <w:bottom w:val="single" w:sz="8" w:space="0" w:color="auto"/>
              <w:right w:val="single" w:sz="8" w:space="0" w:color="auto"/>
            </w:tcBorders>
            <w:shd w:val="clear" w:color="auto" w:fill="auto"/>
            <w:vAlign w:val="center"/>
            <w:hideMark/>
          </w:tcPr>
          <w:p w14:paraId="7E1357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F020C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993E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Możliwość przypisania do grupy sprzętowej,</w:t>
            </w:r>
          </w:p>
        </w:tc>
        <w:tc>
          <w:tcPr>
            <w:tcW w:w="850" w:type="dxa"/>
            <w:tcBorders>
              <w:top w:val="nil"/>
              <w:left w:val="nil"/>
              <w:bottom w:val="single" w:sz="8" w:space="0" w:color="auto"/>
              <w:right w:val="single" w:sz="8" w:space="0" w:color="auto"/>
            </w:tcBorders>
            <w:shd w:val="clear" w:color="auto" w:fill="auto"/>
            <w:vAlign w:val="center"/>
            <w:hideMark/>
          </w:tcPr>
          <w:p w14:paraId="320550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E24CDB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26D0F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11.5. Widoczny status amortyzacji,</w:t>
            </w:r>
          </w:p>
        </w:tc>
        <w:tc>
          <w:tcPr>
            <w:tcW w:w="850" w:type="dxa"/>
            <w:tcBorders>
              <w:top w:val="nil"/>
              <w:left w:val="nil"/>
              <w:bottom w:val="single" w:sz="8" w:space="0" w:color="auto"/>
              <w:right w:val="single" w:sz="8" w:space="0" w:color="auto"/>
            </w:tcBorders>
            <w:shd w:val="clear" w:color="auto" w:fill="auto"/>
            <w:vAlign w:val="center"/>
            <w:hideMark/>
          </w:tcPr>
          <w:p w14:paraId="572C00B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12C99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F4BFC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11.6. Wartość netto,</w:t>
            </w:r>
          </w:p>
        </w:tc>
        <w:tc>
          <w:tcPr>
            <w:tcW w:w="850" w:type="dxa"/>
            <w:tcBorders>
              <w:top w:val="nil"/>
              <w:left w:val="nil"/>
              <w:bottom w:val="single" w:sz="8" w:space="0" w:color="auto"/>
              <w:right w:val="single" w:sz="8" w:space="0" w:color="auto"/>
            </w:tcBorders>
            <w:shd w:val="clear" w:color="auto" w:fill="auto"/>
            <w:vAlign w:val="center"/>
            <w:hideMark/>
          </w:tcPr>
          <w:p w14:paraId="6C6DBD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D9476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CCE9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11.7. Pole aktywny/nieaktywny,</w:t>
            </w:r>
          </w:p>
        </w:tc>
        <w:tc>
          <w:tcPr>
            <w:tcW w:w="850" w:type="dxa"/>
            <w:tcBorders>
              <w:top w:val="nil"/>
              <w:left w:val="nil"/>
              <w:bottom w:val="single" w:sz="8" w:space="0" w:color="auto"/>
              <w:right w:val="single" w:sz="8" w:space="0" w:color="auto"/>
            </w:tcBorders>
            <w:shd w:val="clear" w:color="auto" w:fill="auto"/>
            <w:vAlign w:val="center"/>
            <w:hideMark/>
          </w:tcPr>
          <w:p w14:paraId="00266AB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23A744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94E82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11.8. Pole na dane dotyczące nr fabrycznych sprzętu,</w:t>
            </w:r>
          </w:p>
        </w:tc>
        <w:tc>
          <w:tcPr>
            <w:tcW w:w="850" w:type="dxa"/>
            <w:tcBorders>
              <w:top w:val="nil"/>
              <w:left w:val="nil"/>
              <w:bottom w:val="single" w:sz="8" w:space="0" w:color="auto"/>
              <w:right w:val="single" w:sz="8" w:space="0" w:color="auto"/>
            </w:tcBorders>
            <w:shd w:val="clear" w:color="auto" w:fill="auto"/>
            <w:vAlign w:val="center"/>
            <w:hideMark/>
          </w:tcPr>
          <w:p w14:paraId="6999F4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75C51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8B14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11.9. Rok produkcji,</w:t>
            </w:r>
          </w:p>
        </w:tc>
        <w:tc>
          <w:tcPr>
            <w:tcW w:w="850" w:type="dxa"/>
            <w:tcBorders>
              <w:top w:val="nil"/>
              <w:left w:val="nil"/>
              <w:bottom w:val="single" w:sz="8" w:space="0" w:color="auto"/>
              <w:right w:val="single" w:sz="8" w:space="0" w:color="auto"/>
            </w:tcBorders>
            <w:shd w:val="clear" w:color="auto" w:fill="auto"/>
            <w:vAlign w:val="center"/>
            <w:hideMark/>
          </w:tcPr>
          <w:p w14:paraId="1D9D092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1DB2C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15B5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11.10. Termin/datę upływu gwarancji,</w:t>
            </w:r>
          </w:p>
        </w:tc>
        <w:tc>
          <w:tcPr>
            <w:tcW w:w="850" w:type="dxa"/>
            <w:tcBorders>
              <w:top w:val="nil"/>
              <w:left w:val="nil"/>
              <w:bottom w:val="single" w:sz="8" w:space="0" w:color="auto"/>
              <w:right w:val="single" w:sz="8" w:space="0" w:color="auto"/>
            </w:tcBorders>
            <w:shd w:val="clear" w:color="auto" w:fill="auto"/>
            <w:vAlign w:val="center"/>
            <w:hideMark/>
          </w:tcPr>
          <w:p w14:paraId="04EA76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E2F0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3D4E1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11.11. Termin/datę przypominającą o badaniu technicznym, serwisowym, badaniu poziomu hałasu oraz badaniu UDT, legalizacji,</w:t>
            </w:r>
          </w:p>
        </w:tc>
        <w:tc>
          <w:tcPr>
            <w:tcW w:w="850" w:type="dxa"/>
            <w:tcBorders>
              <w:top w:val="nil"/>
              <w:left w:val="nil"/>
              <w:bottom w:val="single" w:sz="8" w:space="0" w:color="auto"/>
              <w:right w:val="single" w:sz="8" w:space="0" w:color="auto"/>
            </w:tcBorders>
            <w:shd w:val="clear" w:color="auto" w:fill="auto"/>
            <w:vAlign w:val="center"/>
            <w:hideMark/>
          </w:tcPr>
          <w:p w14:paraId="0AE8D29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98A40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25A1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11.12. Powiązanie z kartoteką ŚT,</w:t>
            </w:r>
          </w:p>
        </w:tc>
        <w:tc>
          <w:tcPr>
            <w:tcW w:w="850" w:type="dxa"/>
            <w:tcBorders>
              <w:top w:val="nil"/>
              <w:left w:val="nil"/>
              <w:bottom w:val="single" w:sz="8" w:space="0" w:color="auto"/>
              <w:right w:val="single" w:sz="8" w:space="0" w:color="auto"/>
            </w:tcBorders>
            <w:shd w:val="clear" w:color="auto" w:fill="auto"/>
            <w:vAlign w:val="center"/>
            <w:hideMark/>
          </w:tcPr>
          <w:p w14:paraId="67A254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7B279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D99F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11.13. Dane techniczne urządzenia,</w:t>
            </w:r>
          </w:p>
        </w:tc>
        <w:tc>
          <w:tcPr>
            <w:tcW w:w="850" w:type="dxa"/>
            <w:tcBorders>
              <w:top w:val="nil"/>
              <w:left w:val="nil"/>
              <w:bottom w:val="single" w:sz="8" w:space="0" w:color="auto"/>
              <w:right w:val="single" w:sz="8" w:space="0" w:color="auto"/>
            </w:tcBorders>
            <w:shd w:val="clear" w:color="auto" w:fill="auto"/>
            <w:vAlign w:val="center"/>
            <w:hideMark/>
          </w:tcPr>
          <w:p w14:paraId="6ACA932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499251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AA94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11.14. Normy zużycia paliwa, oleju,</w:t>
            </w:r>
          </w:p>
        </w:tc>
        <w:tc>
          <w:tcPr>
            <w:tcW w:w="850" w:type="dxa"/>
            <w:tcBorders>
              <w:top w:val="nil"/>
              <w:left w:val="nil"/>
              <w:bottom w:val="single" w:sz="8" w:space="0" w:color="auto"/>
              <w:right w:val="single" w:sz="8" w:space="0" w:color="auto"/>
            </w:tcBorders>
            <w:shd w:val="clear" w:color="auto" w:fill="auto"/>
            <w:vAlign w:val="center"/>
            <w:hideMark/>
          </w:tcPr>
          <w:p w14:paraId="5602CDA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29C20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30A2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11.15. Informację gdzie dane urządzenie aktualnie się znajduje oraz kto jest za nie odpowiedzialny materialnie,</w:t>
            </w:r>
          </w:p>
        </w:tc>
        <w:tc>
          <w:tcPr>
            <w:tcW w:w="850" w:type="dxa"/>
            <w:tcBorders>
              <w:top w:val="nil"/>
              <w:left w:val="nil"/>
              <w:bottom w:val="single" w:sz="8" w:space="0" w:color="auto"/>
              <w:right w:val="single" w:sz="8" w:space="0" w:color="auto"/>
            </w:tcBorders>
            <w:shd w:val="clear" w:color="auto" w:fill="auto"/>
            <w:vAlign w:val="center"/>
            <w:hideMark/>
          </w:tcPr>
          <w:p w14:paraId="5ED7A6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B32C99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0675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11.16. Możliwość dopisywania do narzędzia wyposażenia jakie z nim zakupiono bądź jakie się w nim znajduje.</w:t>
            </w:r>
          </w:p>
        </w:tc>
        <w:tc>
          <w:tcPr>
            <w:tcW w:w="850" w:type="dxa"/>
            <w:tcBorders>
              <w:top w:val="nil"/>
              <w:left w:val="nil"/>
              <w:bottom w:val="single" w:sz="8" w:space="0" w:color="auto"/>
              <w:right w:val="single" w:sz="8" w:space="0" w:color="auto"/>
            </w:tcBorders>
            <w:shd w:val="clear" w:color="auto" w:fill="auto"/>
            <w:vAlign w:val="center"/>
            <w:hideMark/>
          </w:tcPr>
          <w:p w14:paraId="7DD263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13349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6CEB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11.17. Możliwość przypisania załącznika do katy (np. karty katalogowej urządzenia bądź linku do strony z danym urządzeniem),</w:t>
            </w:r>
          </w:p>
        </w:tc>
        <w:tc>
          <w:tcPr>
            <w:tcW w:w="850" w:type="dxa"/>
            <w:tcBorders>
              <w:top w:val="nil"/>
              <w:left w:val="nil"/>
              <w:bottom w:val="single" w:sz="8" w:space="0" w:color="auto"/>
              <w:right w:val="single" w:sz="8" w:space="0" w:color="auto"/>
            </w:tcBorders>
            <w:shd w:val="clear" w:color="auto" w:fill="auto"/>
            <w:vAlign w:val="center"/>
            <w:hideMark/>
          </w:tcPr>
          <w:p w14:paraId="0B8B67A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30327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D6AD4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11.18.Historię pobrań/wydań:</w:t>
            </w:r>
            <w:r w:rsidRPr="00B97E7A">
              <w:rPr>
                <w:rFonts w:ascii="Times New Roman" w:eastAsia="Times New Roman" w:hAnsi="Times New Roman" w:cs="Times New Roman"/>
                <w:kern w:val="0"/>
                <w:sz w:val="28"/>
                <w:szCs w:val="28"/>
                <w:lang w:eastAsia="pl-PL"/>
                <w14:ligatures w14:val="none"/>
              </w:rPr>
              <w:br/>
              <w:t>11.18.1. Data i godzina pobrania/zdania,</w:t>
            </w:r>
            <w:r w:rsidRPr="00B97E7A">
              <w:rPr>
                <w:rFonts w:ascii="Times New Roman" w:eastAsia="Times New Roman" w:hAnsi="Times New Roman" w:cs="Times New Roman"/>
                <w:kern w:val="0"/>
                <w:sz w:val="28"/>
                <w:szCs w:val="28"/>
                <w:lang w:eastAsia="pl-PL"/>
                <w14:ligatures w14:val="none"/>
              </w:rPr>
              <w:br/>
              <w:t>11.18.2. Dane osoby pobierającej/zdającej,</w:t>
            </w:r>
            <w:r w:rsidRPr="00B97E7A">
              <w:rPr>
                <w:rFonts w:ascii="Times New Roman" w:eastAsia="Times New Roman" w:hAnsi="Times New Roman" w:cs="Times New Roman"/>
                <w:kern w:val="0"/>
                <w:sz w:val="28"/>
                <w:szCs w:val="28"/>
                <w:lang w:eastAsia="pl-PL"/>
                <w14:ligatures w14:val="none"/>
              </w:rPr>
              <w:br/>
              <w:t>11.18.3. Czas pracy danego urządzenia.</w:t>
            </w:r>
          </w:p>
        </w:tc>
        <w:tc>
          <w:tcPr>
            <w:tcW w:w="850" w:type="dxa"/>
            <w:tcBorders>
              <w:top w:val="nil"/>
              <w:left w:val="nil"/>
              <w:bottom w:val="single" w:sz="8" w:space="0" w:color="auto"/>
              <w:right w:val="single" w:sz="8" w:space="0" w:color="auto"/>
            </w:tcBorders>
            <w:shd w:val="clear" w:color="auto" w:fill="auto"/>
            <w:vAlign w:val="center"/>
            <w:hideMark/>
          </w:tcPr>
          <w:p w14:paraId="63C142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000490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0BFE6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rozliczania pracy sprzętu w tym:</w:t>
            </w:r>
          </w:p>
        </w:tc>
        <w:tc>
          <w:tcPr>
            <w:tcW w:w="850" w:type="dxa"/>
            <w:tcBorders>
              <w:top w:val="nil"/>
              <w:left w:val="nil"/>
              <w:bottom w:val="single" w:sz="8" w:space="0" w:color="auto"/>
              <w:right w:val="single" w:sz="8" w:space="0" w:color="auto"/>
            </w:tcBorders>
            <w:shd w:val="clear" w:color="auto" w:fill="auto"/>
            <w:vAlign w:val="center"/>
            <w:hideMark/>
          </w:tcPr>
          <w:p w14:paraId="332C92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34781A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FF594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 Godziny pracy,</w:t>
            </w:r>
          </w:p>
        </w:tc>
        <w:tc>
          <w:tcPr>
            <w:tcW w:w="850" w:type="dxa"/>
            <w:tcBorders>
              <w:top w:val="nil"/>
              <w:left w:val="nil"/>
              <w:bottom w:val="single" w:sz="8" w:space="0" w:color="auto"/>
              <w:right w:val="single" w:sz="8" w:space="0" w:color="auto"/>
            </w:tcBorders>
            <w:shd w:val="clear" w:color="auto" w:fill="auto"/>
            <w:vAlign w:val="center"/>
            <w:hideMark/>
          </w:tcPr>
          <w:p w14:paraId="2010E5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BA522A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4698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12.2. Ilość paliwa wydana,</w:t>
            </w:r>
          </w:p>
        </w:tc>
        <w:tc>
          <w:tcPr>
            <w:tcW w:w="850" w:type="dxa"/>
            <w:tcBorders>
              <w:top w:val="nil"/>
              <w:left w:val="nil"/>
              <w:bottom w:val="single" w:sz="8" w:space="0" w:color="auto"/>
              <w:right w:val="single" w:sz="8" w:space="0" w:color="auto"/>
            </w:tcBorders>
            <w:shd w:val="clear" w:color="auto" w:fill="auto"/>
            <w:vAlign w:val="center"/>
            <w:hideMark/>
          </w:tcPr>
          <w:p w14:paraId="144D7C4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8DF05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304F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12.3. Ilość paliwa zużyta rzeczywiście,</w:t>
            </w:r>
          </w:p>
        </w:tc>
        <w:tc>
          <w:tcPr>
            <w:tcW w:w="850" w:type="dxa"/>
            <w:tcBorders>
              <w:top w:val="nil"/>
              <w:left w:val="nil"/>
              <w:bottom w:val="single" w:sz="8" w:space="0" w:color="auto"/>
              <w:right w:val="single" w:sz="8" w:space="0" w:color="auto"/>
            </w:tcBorders>
            <w:shd w:val="clear" w:color="auto" w:fill="auto"/>
            <w:vAlign w:val="center"/>
            <w:hideMark/>
          </w:tcPr>
          <w:p w14:paraId="1D5BE14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E9BC4D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D5EC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12.4. Ilość paliwa zużyta wg norm,</w:t>
            </w:r>
          </w:p>
        </w:tc>
        <w:tc>
          <w:tcPr>
            <w:tcW w:w="850" w:type="dxa"/>
            <w:tcBorders>
              <w:top w:val="nil"/>
              <w:left w:val="nil"/>
              <w:bottom w:val="single" w:sz="8" w:space="0" w:color="auto"/>
              <w:right w:val="single" w:sz="8" w:space="0" w:color="auto"/>
            </w:tcBorders>
            <w:shd w:val="clear" w:color="auto" w:fill="auto"/>
            <w:vAlign w:val="center"/>
            <w:hideMark/>
          </w:tcPr>
          <w:p w14:paraId="7FF03E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5B3AD9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DB59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12.5. Możliwość powiązania wydania z projektem,</w:t>
            </w:r>
          </w:p>
        </w:tc>
        <w:tc>
          <w:tcPr>
            <w:tcW w:w="850" w:type="dxa"/>
            <w:tcBorders>
              <w:top w:val="nil"/>
              <w:left w:val="nil"/>
              <w:bottom w:val="single" w:sz="8" w:space="0" w:color="auto"/>
              <w:right w:val="single" w:sz="8" w:space="0" w:color="auto"/>
            </w:tcBorders>
            <w:shd w:val="clear" w:color="auto" w:fill="auto"/>
            <w:vAlign w:val="center"/>
            <w:hideMark/>
          </w:tcPr>
          <w:p w14:paraId="120284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2AA021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17DD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12.6. Podział kosztów związanych z użytkowaniem sprzętu.</w:t>
            </w:r>
          </w:p>
        </w:tc>
        <w:tc>
          <w:tcPr>
            <w:tcW w:w="850" w:type="dxa"/>
            <w:tcBorders>
              <w:top w:val="nil"/>
              <w:left w:val="nil"/>
              <w:bottom w:val="single" w:sz="8" w:space="0" w:color="auto"/>
              <w:right w:val="single" w:sz="8" w:space="0" w:color="auto"/>
            </w:tcBorders>
            <w:shd w:val="clear" w:color="auto" w:fill="auto"/>
            <w:vAlign w:val="center"/>
            <w:hideMark/>
          </w:tcPr>
          <w:p w14:paraId="03A456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69AD55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2053C6"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 xml:space="preserve">H. OBSZAR ZARZĄDZANIA USŁUGAMI ODPŁATNYMI </w:t>
            </w:r>
          </w:p>
        </w:tc>
        <w:tc>
          <w:tcPr>
            <w:tcW w:w="850" w:type="dxa"/>
            <w:tcBorders>
              <w:top w:val="nil"/>
              <w:left w:val="nil"/>
              <w:bottom w:val="single" w:sz="8" w:space="0" w:color="auto"/>
              <w:right w:val="single" w:sz="8" w:space="0" w:color="auto"/>
            </w:tcBorders>
            <w:shd w:val="clear" w:color="000000" w:fill="A6A6A6"/>
            <w:vAlign w:val="center"/>
            <w:hideMark/>
          </w:tcPr>
          <w:p w14:paraId="763ABE1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E475EA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F8315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Zarządzanie pełnym cyklem życia stojaka hydrantowego: zakup, przyjęcie na magazyn, przesuniecie na magazyn, wydanie do montażu na sieci, montaż na sieci, demontaż z sieci, wydanie do legalizacji, ekspertyzy, złomowania.</w:t>
            </w:r>
          </w:p>
        </w:tc>
        <w:tc>
          <w:tcPr>
            <w:tcW w:w="850" w:type="dxa"/>
            <w:tcBorders>
              <w:top w:val="nil"/>
              <w:left w:val="nil"/>
              <w:bottom w:val="single" w:sz="8" w:space="0" w:color="auto"/>
              <w:right w:val="single" w:sz="8" w:space="0" w:color="auto"/>
            </w:tcBorders>
            <w:shd w:val="clear" w:color="auto" w:fill="auto"/>
            <w:vAlign w:val="center"/>
            <w:hideMark/>
          </w:tcPr>
          <w:p w14:paraId="188AC2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B1C70B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0742F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Ewidencja stojaków hydrantowych zarejestrowanych w systemie (wraz z historią oraz szybkim z podglądem dokumentów powiązanych z wybranym stojakiem).</w:t>
            </w:r>
          </w:p>
        </w:tc>
        <w:tc>
          <w:tcPr>
            <w:tcW w:w="850" w:type="dxa"/>
            <w:tcBorders>
              <w:top w:val="nil"/>
              <w:left w:val="nil"/>
              <w:bottom w:val="single" w:sz="8" w:space="0" w:color="auto"/>
              <w:right w:val="single" w:sz="8" w:space="0" w:color="auto"/>
            </w:tcBorders>
            <w:shd w:val="clear" w:color="auto" w:fill="auto"/>
            <w:vAlign w:val="center"/>
            <w:hideMark/>
          </w:tcPr>
          <w:p w14:paraId="38A132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5D5CDA"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1CBFC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 Możliwość rejestracji numeru fabrycznego oraz ewidencyjnego stojaka hydrantowego, średnicy wodomierza, typu wodomierza (wybór ze słownika), statusu licznika np. w sieci, ekspertyza, demontaż za zadłużenie, demontaż czasowy, zagubiony, zlikwidowany, naprawa, użytkownika (wybór ze słownika).</w:t>
            </w:r>
          </w:p>
        </w:tc>
        <w:tc>
          <w:tcPr>
            <w:tcW w:w="850" w:type="dxa"/>
            <w:tcBorders>
              <w:top w:val="nil"/>
              <w:left w:val="nil"/>
              <w:bottom w:val="single" w:sz="8" w:space="0" w:color="auto"/>
              <w:right w:val="single" w:sz="8" w:space="0" w:color="auto"/>
            </w:tcBorders>
            <w:shd w:val="clear" w:color="auto" w:fill="auto"/>
            <w:vAlign w:val="center"/>
            <w:hideMark/>
          </w:tcPr>
          <w:p w14:paraId="42F5D7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FDF30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C007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Data legalizacji (rok, miesiąc, dzień, domyślnie po podaniu roku pojawia się 1 stycznia).</w:t>
            </w:r>
          </w:p>
        </w:tc>
        <w:tc>
          <w:tcPr>
            <w:tcW w:w="850" w:type="dxa"/>
            <w:tcBorders>
              <w:top w:val="nil"/>
              <w:left w:val="nil"/>
              <w:bottom w:val="single" w:sz="8" w:space="0" w:color="auto"/>
              <w:right w:val="single" w:sz="8" w:space="0" w:color="auto"/>
            </w:tcBorders>
            <w:shd w:val="clear" w:color="auto" w:fill="auto"/>
            <w:vAlign w:val="center"/>
            <w:hideMark/>
          </w:tcPr>
          <w:p w14:paraId="65EFF1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56B612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6145C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zdefiniowania i modyfikacji słowników:</w:t>
            </w:r>
          </w:p>
        </w:tc>
        <w:tc>
          <w:tcPr>
            <w:tcW w:w="850" w:type="dxa"/>
            <w:tcBorders>
              <w:top w:val="nil"/>
              <w:left w:val="nil"/>
              <w:bottom w:val="single" w:sz="8" w:space="0" w:color="auto"/>
              <w:right w:val="single" w:sz="8" w:space="0" w:color="auto"/>
            </w:tcBorders>
            <w:shd w:val="clear" w:color="000000" w:fill="A6A6A6"/>
            <w:vAlign w:val="center"/>
            <w:hideMark/>
          </w:tcPr>
          <w:p w14:paraId="53BFF0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67C243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7BD0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lokalizacja (np. w magazynie, u użytkownika, w legalizacji, usunięty z ewidencji),</w:t>
            </w:r>
          </w:p>
        </w:tc>
        <w:tc>
          <w:tcPr>
            <w:tcW w:w="850" w:type="dxa"/>
            <w:tcBorders>
              <w:top w:val="nil"/>
              <w:left w:val="nil"/>
              <w:bottom w:val="single" w:sz="8" w:space="0" w:color="auto"/>
              <w:right w:val="single" w:sz="8" w:space="0" w:color="auto"/>
            </w:tcBorders>
            <w:shd w:val="clear" w:color="auto" w:fill="auto"/>
            <w:vAlign w:val="center"/>
            <w:hideMark/>
          </w:tcPr>
          <w:p w14:paraId="3FFF0C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D1A12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86C9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właściciel (np. przedsiębiorstwo, odbiorca, wodomierze obcych firm),</w:t>
            </w:r>
          </w:p>
        </w:tc>
        <w:tc>
          <w:tcPr>
            <w:tcW w:w="850" w:type="dxa"/>
            <w:tcBorders>
              <w:top w:val="nil"/>
              <w:left w:val="nil"/>
              <w:bottom w:val="single" w:sz="8" w:space="0" w:color="auto"/>
              <w:right w:val="single" w:sz="8" w:space="0" w:color="auto"/>
            </w:tcBorders>
            <w:shd w:val="clear" w:color="auto" w:fill="auto"/>
            <w:vAlign w:val="center"/>
            <w:hideMark/>
          </w:tcPr>
          <w:p w14:paraId="74E0596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9FFFD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2010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5.3. rodzaj usterki. </w:t>
            </w:r>
          </w:p>
        </w:tc>
        <w:tc>
          <w:tcPr>
            <w:tcW w:w="850" w:type="dxa"/>
            <w:tcBorders>
              <w:top w:val="nil"/>
              <w:left w:val="nil"/>
              <w:bottom w:val="single" w:sz="8" w:space="0" w:color="auto"/>
              <w:right w:val="single" w:sz="8" w:space="0" w:color="auto"/>
            </w:tcBorders>
            <w:shd w:val="clear" w:color="auto" w:fill="auto"/>
            <w:vAlign w:val="center"/>
            <w:hideMark/>
          </w:tcPr>
          <w:p w14:paraId="3F2925E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DAD5D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26845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Automatyczna oraz ręczna ewidencja zdarzeń innych na wodomierzu np. legalizacje, naprawy, likwidacje, zniszczenia, kradzieże i inne.</w:t>
            </w:r>
          </w:p>
        </w:tc>
        <w:tc>
          <w:tcPr>
            <w:tcW w:w="850" w:type="dxa"/>
            <w:tcBorders>
              <w:top w:val="nil"/>
              <w:left w:val="nil"/>
              <w:bottom w:val="single" w:sz="8" w:space="0" w:color="auto"/>
              <w:right w:val="single" w:sz="8" w:space="0" w:color="auto"/>
            </w:tcBorders>
            <w:shd w:val="clear" w:color="auto" w:fill="auto"/>
            <w:vAlign w:val="center"/>
            <w:hideMark/>
          </w:tcPr>
          <w:p w14:paraId="69AEED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A5272A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4A80B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Monitorowanie terminów legalizacyjnych wodomierzy. Generowanie zamówień na legalizację zewnętrzną.</w:t>
            </w:r>
          </w:p>
        </w:tc>
        <w:tc>
          <w:tcPr>
            <w:tcW w:w="850" w:type="dxa"/>
            <w:tcBorders>
              <w:top w:val="nil"/>
              <w:left w:val="nil"/>
              <w:bottom w:val="single" w:sz="8" w:space="0" w:color="auto"/>
              <w:right w:val="single" w:sz="8" w:space="0" w:color="auto"/>
            </w:tcBorders>
            <w:shd w:val="clear" w:color="auto" w:fill="auto"/>
            <w:vAlign w:val="center"/>
            <w:hideMark/>
          </w:tcPr>
          <w:p w14:paraId="793967D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DBD8F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0499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Generowanie dokumentów PW na podstawie wodomierzy przekazanych do likwidacji.</w:t>
            </w:r>
          </w:p>
        </w:tc>
        <w:tc>
          <w:tcPr>
            <w:tcW w:w="850" w:type="dxa"/>
            <w:tcBorders>
              <w:top w:val="nil"/>
              <w:left w:val="nil"/>
              <w:bottom w:val="single" w:sz="8" w:space="0" w:color="auto"/>
              <w:right w:val="single" w:sz="8" w:space="0" w:color="auto"/>
            </w:tcBorders>
            <w:shd w:val="clear" w:color="auto" w:fill="auto"/>
            <w:vAlign w:val="center"/>
            <w:hideMark/>
          </w:tcPr>
          <w:p w14:paraId="2388601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49C9C2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1FE19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Ewidencja kosztów napraw stojaków hydrantowych.</w:t>
            </w:r>
          </w:p>
        </w:tc>
        <w:tc>
          <w:tcPr>
            <w:tcW w:w="850" w:type="dxa"/>
            <w:tcBorders>
              <w:top w:val="nil"/>
              <w:left w:val="nil"/>
              <w:bottom w:val="single" w:sz="8" w:space="0" w:color="auto"/>
              <w:right w:val="single" w:sz="8" w:space="0" w:color="auto"/>
            </w:tcBorders>
            <w:shd w:val="clear" w:color="auto" w:fill="auto"/>
            <w:vAlign w:val="center"/>
            <w:hideMark/>
          </w:tcPr>
          <w:p w14:paraId="241F02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D07DD4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1F82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Planowanie zakupów części do napraw na podstawie rocznego planu wymian.</w:t>
            </w:r>
          </w:p>
        </w:tc>
        <w:tc>
          <w:tcPr>
            <w:tcW w:w="850" w:type="dxa"/>
            <w:tcBorders>
              <w:top w:val="nil"/>
              <w:left w:val="nil"/>
              <w:bottom w:val="single" w:sz="8" w:space="0" w:color="auto"/>
              <w:right w:val="single" w:sz="8" w:space="0" w:color="auto"/>
            </w:tcBorders>
            <w:shd w:val="clear" w:color="auto" w:fill="auto"/>
            <w:vAlign w:val="center"/>
            <w:hideMark/>
          </w:tcPr>
          <w:p w14:paraId="2EDB45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7EE796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C1E43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Obsługa procesu wydania stojaka hydrantowego obejmująca:</w:t>
            </w:r>
          </w:p>
        </w:tc>
        <w:tc>
          <w:tcPr>
            <w:tcW w:w="850" w:type="dxa"/>
            <w:tcBorders>
              <w:top w:val="nil"/>
              <w:left w:val="nil"/>
              <w:bottom w:val="single" w:sz="8" w:space="0" w:color="auto"/>
              <w:right w:val="single" w:sz="8" w:space="0" w:color="auto"/>
            </w:tcBorders>
            <w:shd w:val="clear" w:color="000000" w:fill="A6A6A6"/>
            <w:vAlign w:val="center"/>
            <w:hideMark/>
          </w:tcPr>
          <w:p w14:paraId="265BB9A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D24D56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B3A18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Odszukanie karty stojaka za pomocą kodu kreskowego/QR lub z wykorzystaniem filtrów tekstowych,</w:t>
            </w:r>
          </w:p>
        </w:tc>
        <w:tc>
          <w:tcPr>
            <w:tcW w:w="850" w:type="dxa"/>
            <w:tcBorders>
              <w:top w:val="nil"/>
              <w:left w:val="nil"/>
              <w:bottom w:val="single" w:sz="8" w:space="0" w:color="auto"/>
              <w:right w:val="single" w:sz="8" w:space="0" w:color="auto"/>
            </w:tcBorders>
            <w:shd w:val="clear" w:color="auto" w:fill="auto"/>
            <w:vAlign w:val="center"/>
            <w:hideMark/>
          </w:tcPr>
          <w:p w14:paraId="4047CA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9944C4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1CB1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Uruchomienie funkcji „Wydanie stojaka hydrantowego”, która utworzy w systemie dokument najmu (Wniosek) Akcja dostępna będzie z poziomu listy,</w:t>
            </w:r>
          </w:p>
        </w:tc>
        <w:tc>
          <w:tcPr>
            <w:tcW w:w="850" w:type="dxa"/>
            <w:tcBorders>
              <w:top w:val="nil"/>
              <w:left w:val="nil"/>
              <w:bottom w:val="single" w:sz="8" w:space="0" w:color="auto"/>
              <w:right w:val="single" w:sz="8" w:space="0" w:color="auto"/>
            </w:tcBorders>
            <w:shd w:val="clear" w:color="auto" w:fill="auto"/>
            <w:vAlign w:val="center"/>
            <w:hideMark/>
          </w:tcPr>
          <w:p w14:paraId="4CDA30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5BF73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3EA7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Uzupełnienie danych dot. wynajmu,</w:t>
            </w:r>
          </w:p>
        </w:tc>
        <w:tc>
          <w:tcPr>
            <w:tcW w:w="850" w:type="dxa"/>
            <w:tcBorders>
              <w:top w:val="nil"/>
              <w:left w:val="nil"/>
              <w:bottom w:val="single" w:sz="8" w:space="0" w:color="auto"/>
              <w:right w:val="single" w:sz="8" w:space="0" w:color="auto"/>
            </w:tcBorders>
            <w:shd w:val="clear" w:color="auto" w:fill="auto"/>
            <w:vAlign w:val="center"/>
            <w:hideMark/>
          </w:tcPr>
          <w:p w14:paraId="73B8D1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81633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2847B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Możliwość wydruku dokumentu najmu w celu podpisania przez klienta.</w:t>
            </w:r>
          </w:p>
        </w:tc>
        <w:tc>
          <w:tcPr>
            <w:tcW w:w="850" w:type="dxa"/>
            <w:tcBorders>
              <w:top w:val="nil"/>
              <w:left w:val="nil"/>
              <w:bottom w:val="single" w:sz="8" w:space="0" w:color="auto"/>
              <w:right w:val="single" w:sz="8" w:space="0" w:color="auto"/>
            </w:tcBorders>
            <w:shd w:val="clear" w:color="auto" w:fill="auto"/>
            <w:vAlign w:val="center"/>
            <w:hideMark/>
          </w:tcPr>
          <w:p w14:paraId="4F53CA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7F00F8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C7260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Obsługa procesu przyjęcia stojaka hydrantowego obejmująca:</w:t>
            </w:r>
          </w:p>
        </w:tc>
        <w:tc>
          <w:tcPr>
            <w:tcW w:w="850" w:type="dxa"/>
            <w:tcBorders>
              <w:top w:val="nil"/>
              <w:left w:val="nil"/>
              <w:bottom w:val="single" w:sz="8" w:space="0" w:color="auto"/>
              <w:right w:val="single" w:sz="8" w:space="0" w:color="auto"/>
            </w:tcBorders>
            <w:shd w:val="clear" w:color="000000" w:fill="A6A6A6"/>
            <w:vAlign w:val="center"/>
            <w:hideMark/>
          </w:tcPr>
          <w:p w14:paraId="750A51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8A499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910F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 Odszukanie karty stojaka za pomocą kodu kreskowego/QR lub z wykorzystaniem filtrów tekstowych,</w:t>
            </w:r>
          </w:p>
        </w:tc>
        <w:tc>
          <w:tcPr>
            <w:tcW w:w="850" w:type="dxa"/>
            <w:tcBorders>
              <w:top w:val="nil"/>
              <w:left w:val="nil"/>
              <w:bottom w:val="single" w:sz="8" w:space="0" w:color="auto"/>
              <w:right w:val="single" w:sz="8" w:space="0" w:color="auto"/>
            </w:tcBorders>
            <w:shd w:val="clear" w:color="auto" w:fill="auto"/>
            <w:vAlign w:val="center"/>
            <w:hideMark/>
          </w:tcPr>
          <w:p w14:paraId="3B12507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B614BC8"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9622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12.2. Uzupełnienie danych dot. Wynajmu na dokumencie najmu:</w:t>
            </w:r>
            <w:r w:rsidRPr="00B97E7A">
              <w:rPr>
                <w:rFonts w:ascii="Times New Roman" w:eastAsia="Times New Roman" w:hAnsi="Times New Roman" w:cs="Times New Roman"/>
                <w:kern w:val="0"/>
                <w:sz w:val="28"/>
                <w:szCs w:val="28"/>
                <w:lang w:eastAsia="pl-PL"/>
                <w14:ligatures w14:val="none"/>
              </w:rPr>
              <w:br/>
              <w:t>-&gt; Stan wodomierza,</w:t>
            </w:r>
            <w:r w:rsidRPr="00B97E7A">
              <w:rPr>
                <w:rFonts w:ascii="Times New Roman" w:eastAsia="Times New Roman" w:hAnsi="Times New Roman" w:cs="Times New Roman"/>
                <w:kern w:val="0"/>
                <w:sz w:val="28"/>
                <w:szCs w:val="28"/>
                <w:lang w:eastAsia="pl-PL"/>
                <w14:ligatures w14:val="none"/>
              </w:rPr>
              <w:br/>
              <w:t>-&gt; Imię i Nazwisko osoby zdającej,</w:t>
            </w:r>
            <w:r w:rsidRPr="00B97E7A">
              <w:rPr>
                <w:rFonts w:ascii="Times New Roman" w:eastAsia="Times New Roman" w:hAnsi="Times New Roman" w:cs="Times New Roman"/>
                <w:kern w:val="0"/>
                <w:sz w:val="28"/>
                <w:szCs w:val="28"/>
                <w:lang w:eastAsia="pl-PL"/>
                <w14:ligatures w14:val="none"/>
              </w:rPr>
              <w:br/>
              <w:t>-&gt; Data i godzina zwrotu,</w:t>
            </w:r>
            <w:r w:rsidRPr="00B97E7A">
              <w:rPr>
                <w:rFonts w:ascii="Times New Roman" w:eastAsia="Times New Roman" w:hAnsi="Times New Roman" w:cs="Times New Roman"/>
                <w:kern w:val="0"/>
                <w:sz w:val="28"/>
                <w:szCs w:val="28"/>
                <w:lang w:eastAsia="pl-PL"/>
                <w14:ligatures w14:val="none"/>
              </w:rPr>
              <w:br/>
              <w:t>-&gt; Dodatkowe informacje.</w:t>
            </w:r>
          </w:p>
        </w:tc>
        <w:tc>
          <w:tcPr>
            <w:tcW w:w="850" w:type="dxa"/>
            <w:tcBorders>
              <w:top w:val="nil"/>
              <w:left w:val="nil"/>
              <w:bottom w:val="single" w:sz="8" w:space="0" w:color="auto"/>
              <w:right w:val="single" w:sz="8" w:space="0" w:color="auto"/>
            </w:tcBorders>
            <w:shd w:val="clear" w:color="auto" w:fill="auto"/>
            <w:vAlign w:val="center"/>
            <w:hideMark/>
          </w:tcPr>
          <w:p w14:paraId="33B394D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FFC36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A4E51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definiowania i modyfikacji predefiniowanego druku wniosku o najem stojaka hydrantowego wg wzoru z wykorzystaniem danych zawartych w systemie.</w:t>
            </w:r>
          </w:p>
        </w:tc>
        <w:tc>
          <w:tcPr>
            <w:tcW w:w="850" w:type="dxa"/>
            <w:tcBorders>
              <w:top w:val="nil"/>
              <w:left w:val="nil"/>
              <w:bottom w:val="single" w:sz="8" w:space="0" w:color="auto"/>
              <w:right w:val="single" w:sz="8" w:space="0" w:color="auto"/>
            </w:tcBorders>
            <w:shd w:val="clear" w:color="auto" w:fill="auto"/>
            <w:vAlign w:val="center"/>
            <w:hideMark/>
          </w:tcPr>
          <w:p w14:paraId="06F473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7A50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F902D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14. Rejestr wniosków najmu stojaków hydrantowych. </w:t>
            </w:r>
          </w:p>
        </w:tc>
        <w:tc>
          <w:tcPr>
            <w:tcW w:w="850" w:type="dxa"/>
            <w:tcBorders>
              <w:top w:val="nil"/>
              <w:left w:val="nil"/>
              <w:bottom w:val="single" w:sz="8" w:space="0" w:color="auto"/>
              <w:right w:val="single" w:sz="8" w:space="0" w:color="auto"/>
            </w:tcBorders>
            <w:shd w:val="clear" w:color="auto" w:fill="auto"/>
            <w:vAlign w:val="center"/>
            <w:hideMark/>
          </w:tcPr>
          <w:p w14:paraId="1BEECEA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B81C6D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5C1B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automatyzacji generowania wniosków np. tworzenie nowego wniosku na podstawie wniosku zakończonego.</w:t>
            </w:r>
          </w:p>
        </w:tc>
        <w:tc>
          <w:tcPr>
            <w:tcW w:w="850" w:type="dxa"/>
            <w:tcBorders>
              <w:top w:val="nil"/>
              <w:left w:val="nil"/>
              <w:bottom w:val="single" w:sz="8" w:space="0" w:color="auto"/>
              <w:right w:val="single" w:sz="8" w:space="0" w:color="auto"/>
            </w:tcBorders>
            <w:shd w:val="clear" w:color="auto" w:fill="auto"/>
            <w:vAlign w:val="center"/>
            <w:hideMark/>
          </w:tcPr>
          <w:p w14:paraId="46A3F8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D0BF7D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B59BEA"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VII. PLANOWANIE I REALIZACJA ZAKUPU MATERIAŁÓW (PZM)</w:t>
            </w:r>
          </w:p>
        </w:tc>
        <w:tc>
          <w:tcPr>
            <w:tcW w:w="850" w:type="dxa"/>
            <w:tcBorders>
              <w:top w:val="nil"/>
              <w:left w:val="nil"/>
              <w:bottom w:val="single" w:sz="8" w:space="0" w:color="auto"/>
              <w:right w:val="single" w:sz="8" w:space="0" w:color="auto"/>
            </w:tcBorders>
            <w:shd w:val="clear" w:color="000000" w:fill="A6A6A6"/>
            <w:vAlign w:val="center"/>
            <w:hideMark/>
          </w:tcPr>
          <w:p w14:paraId="3E2B453D"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504B7F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300C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 Tworzenie rocznych planów zakupów materiałów przez komórki organizacyjne. </w:t>
            </w:r>
          </w:p>
        </w:tc>
        <w:tc>
          <w:tcPr>
            <w:tcW w:w="850" w:type="dxa"/>
            <w:tcBorders>
              <w:top w:val="nil"/>
              <w:left w:val="nil"/>
              <w:bottom w:val="single" w:sz="8" w:space="0" w:color="auto"/>
              <w:right w:val="single" w:sz="8" w:space="0" w:color="auto"/>
            </w:tcBorders>
            <w:shd w:val="clear" w:color="auto" w:fill="auto"/>
            <w:vAlign w:val="center"/>
            <w:hideMark/>
          </w:tcPr>
          <w:p w14:paraId="216183A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248F8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1198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Powiązanie PZM z planowanymi budżetami komórek organizacyjnych.</w:t>
            </w:r>
          </w:p>
        </w:tc>
        <w:tc>
          <w:tcPr>
            <w:tcW w:w="850" w:type="dxa"/>
            <w:tcBorders>
              <w:top w:val="nil"/>
              <w:left w:val="nil"/>
              <w:bottom w:val="single" w:sz="8" w:space="0" w:color="auto"/>
              <w:right w:val="single" w:sz="8" w:space="0" w:color="auto"/>
            </w:tcBorders>
            <w:shd w:val="clear" w:color="auto" w:fill="auto"/>
            <w:vAlign w:val="center"/>
            <w:hideMark/>
          </w:tcPr>
          <w:p w14:paraId="6B1B15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9BD8C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A2AF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kumulowania PZM wszystkich komórek organizacyjnych w jeden PZM całej spółki.</w:t>
            </w:r>
          </w:p>
        </w:tc>
        <w:tc>
          <w:tcPr>
            <w:tcW w:w="850" w:type="dxa"/>
            <w:tcBorders>
              <w:top w:val="nil"/>
              <w:left w:val="nil"/>
              <w:bottom w:val="single" w:sz="8" w:space="0" w:color="auto"/>
              <w:right w:val="single" w:sz="8" w:space="0" w:color="auto"/>
            </w:tcBorders>
            <w:shd w:val="clear" w:color="auto" w:fill="auto"/>
            <w:vAlign w:val="center"/>
            <w:hideMark/>
          </w:tcPr>
          <w:p w14:paraId="2E26D3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4BAC80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D802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 Możliwość planowania ilościowo i wartościowo poprzez wybór indeksów materiałowych z syntetyk poszczególnych branży, jak i wartościowo na wybranej syntetyce. </w:t>
            </w:r>
          </w:p>
        </w:tc>
        <w:tc>
          <w:tcPr>
            <w:tcW w:w="850" w:type="dxa"/>
            <w:tcBorders>
              <w:top w:val="nil"/>
              <w:left w:val="nil"/>
              <w:bottom w:val="single" w:sz="8" w:space="0" w:color="auto"/>
              <w:right w:val="single" w:sz="8" w:space="0" w:color="auto"/>
            </w:tcBorders>
            <w:shd w:val="clear" w:color="auto" w:fill="auto"/>
            <w:vAlign w:val="center"/>
            <w:hideMark/>
          </w:tcPr>
          <w:p w14:paraId="2CF597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2498E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97B6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planowania ilościowego i wartościowego indeksów z centralnej kartoteki magazynowej.</w:t>
            </w:r>
          </w:p>
        </w:tc>
        <w:tc>
          <w:tcPr>
            <w:tcW w:w="850" w:type="dxa"/>
            <w:tcBorders>
              <w:top w:val="nil"/>
              <w:left w:val="nil"/>
              <w:bottom w:val="single" w:sz="8" w:space="0" w:color="auto"/>
              <w:right w:val="single" w:sz="8" w:space="0" w:color="auto"/>
            </w:tcBorders>
            <w:shd w:val="clear" w:color="auto" w:fill="auto"/>
            <w:vAlign w:val="center"/>
            <w:hideMark/>
          </w:tcPr>
          <w:p w14:paraId="133ECB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8C453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0BAB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Bieżąca kontrola ilościowo-wartościowa PZM.</w:t>
            </w:r>
          </w:p>
        </w:tc>
        <w:tc>
          <w:tcPr>
            <w:tcW w:w="850" w:type="dxa"/>
            <w:tcBorders>
              <w:top w:val="nil"/>
              <w:left w:val="nil"/>
              <w:bottom w:val="single" w:sz="8" w:space="0" w:color="auto"/>
              <w:right w:val="single" w:sz="8" w:space="0" w:color="auto"/>
            </w:tcBorders>
            <w:shd w:val="clear" w:color="auto" w:fill="auto"/>
            <w:vAlign w:val="center"/>
            <w:hideMark/>
          </w:tcPr>
          <w:p w14:paraId="38B165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EBF9A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4706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korekty zatwierdzonego PZM w ramach ilości materiałów z jednoczesną blokadą przekroczenia zatwierdzonej wartości.</w:t>
            </w:r>
          </w:p>
        </w:tc>
        <w:tc>
          <w:tcPr>
            <w:tcW w:w="850" w:type="dxa"/>
            <w:tcBorders>
              <w:top w:val="nil"/>
              <w:left w:val="nil"/>
              <w:bottom w:val="single" w:sz="8" w:space="0" w:color="auto"/>
              <w:right w:val="single" w:sz="8" w:space="0" w:color="auto"/>
            </w:tcBorders>
            <w:shd w:val="clear" w:color="auto" w:fill="auto"/>
            <w:vAlign w:val="center"/>
            <w:hideMark/>
          </w:tcPr>
          <w:p w14:paraId="27CA67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2CB32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D5759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PLANOWANIE I PODGLĄD REALIZOWANYCH PLANÓW</w:t>
            </w:r>
          </w:p>
        </w:tc>
        <w:tc>
          <w:tcPr>
            <w:tcW w:w="850" w:type="dxa"/>
            <w:tcBorders>
              <w:top w:val="nil"/>
              <w:left w:val="nil"/>
              <w:bottom w:val="single" w:sz="8" w:space="0" w:color="auto"/>
              <w:right w:val="single" w:sz="8" w:space="0" w:color="auto"/>
            </w:tcBorders>
            <w:shd w:val="clear" w:color="000000" w:fill="A6A6A6"/>
            <w:vAlign w:val="center"/>
            <w:hideMark/>
          </w:tcPr>
          <w:p w14:paraId="3D0C76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DFB725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E18DE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Ewidencja rocznych PZM obejmująca numer i nazwę planu, daty obowiązywania „od”-„do”, informację o statusie planu (np. w przygotowaniu, zaakceptowany, zatwierdzony, aktywny/nieaktywny).</w:t>
            </w:r>
          </w:p>
        </w:tc>
        <w:tc>
          <w:tcPr>
            <w:tcW w:w="850" w:type="dxa"/>
            <w:tcBorders>
              <w:top w:val="nil"/>
              <w:left w:val="nil"/>
              <w:bottom w:val="single" w:sz="8" w:space="0" w:color="auto"/>
              <w:right w:val="single" w:sz="8" w:space="0" w:color="auto"/>
            </w:tcBorders>
            <w:shd w:val="clear" w:color="auto" w:fill="auto"/>
            <w:vAlign w:val="center"/>
            <w:hideMark/>
          </w:tcPr>
          <w:p w14:paraId="130E7D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DD6CA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5D44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Szczegóły PZM:</w:t>
            </w:r>
          </w:p>
        </w:tc>
        <w:tc>
          <w:tcPr>
            <w:tcW w:w="850" w:type="dxa"/>
            <w:tcBorders>
              <w:top w:val="nil"/>
              <w:left w:val="nil"/>
              <w:bottom w:val="single" w:sz="8" w:space="0" w:color="auto"/>
              <w:right w:val="single" w:sz="8" w:space="0" w:color="auto"/>
            </w:tcBorders>
            <w:shd w:val="clear" w:color="000000" w:fill="A6A6A6"/>
            <w:vAlign w:val="center"/>
            <w:hideMark/>
          </w:tcPr>
          <w:p w14:paraId="6F086A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C6A12D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9E20B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Widok dla wszystkich użytkowników:</w:t>
            </w:r>
          </w:p>
        </w:tc>
        <w:tc>
          <w:tcPr>
            <w:tcW w:w="850" w:type="dxa"/>
            <w:tcBorders>
              <w:top w:val="nil"/>
              <w:left w:val="nil"/>
              <w:bottom w:val="single" w:sz="8" w:space="0" w:color="auto"/>
              <w:right w:val="single" w:sz="8" w:space="0" w:color="auto"/>
            </w:tcBorders>
            <w:shd w:val="clear" w:color="000000" w:fill="A6A6A6"/>
            <w:vAlign w:val="center"/>
            <w:hideMark/>
          </w:tcPr>
          <w:p w14:paraId="025971A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DD8EC6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60E57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2.1.1. Widok podsumowania wartości i realizacji PZM z automatycznym wyliczeniem procentowej realizacji,</w:t>
            </w:r>
          </w:p>
        </w:tc>
        <w:tc>
          <w:tcPr>
            <w:tcW w:w="850" w:type="dxa"/>
            <w:tcBorders>
              <w:top w:val="nil"/>
              <w:left w:val="nil"/>
              <w:bottom w:val="single" w:sz="8" w:space="0" w:color="auto"/>
              <w:right w:val="single" w:sz="8" w:space="0" w:color="auto"/>
            </w:tcBorders>
            <w:shd w:val="clear" w:color="auto" w:fill="auto"/>
            <w:vAlign w:val="center"/>
            <w:hideMark/>
          </w:tcPr>
          <w:p w14:paraId="3C51167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EEED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F2760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2.1.2. Widok PZM w rozbiciu na poszczególne syntetyki lub w całości,</w:t>
            </w:r>
          </w:p>
        </w:tc>
        <w:tc>
          <w:tcPr>
            <w:tcW w:w="850" w:type="dxa"/>
            <w:tcBorders>
              <w:top w:val="nil"/>
              <w:left w:val="nil"/>
              <w:bottom w:val="single" w:sz="8" w:space="0" w:color="auto"/>
              <w:right w:val="single" w:sz="8" w:space="0" w:color="auto"/>
            </w:tcBorders>
            <w:shd w:val="clear" w:color="auto" w:fill="auto"/>
            <w:vAlign w:val="center"/>
            <w:hideMark/>
          </w:tcPr>
          <w:p w14:paraId="51A6A4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52ACC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0C67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Widok dla pracowników Działu Zaopatrzenia:</w:t>
            </w:r>
          </w:p>
        </w:tc>
        <w:tc>
          <w:tcPr>
            <w:tcW w:w="850" w:type="dxa"/>
            <w:tcBorders>
              <w:top w:val="nil"/>
              <w:left w:val="nil"/>
              <w:bottom w:val="single" w:sz="8" w:space="0" w:color="auto"/>
              <w:right w:val="single" w:sz="8" w:space="0" w:color="auto"/>
            </w:tcBorders>
            <w:shd w:val="clear" w:color="000000" w:fill="A6A6A6"/>
            <w:vAlign w:val="center"/>
            <w:hideMark/>
          </w:tcPr>
          <w:p w14:paraId="1BDA49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460A7B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BAA05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2.2.1. Widok wartościowy syntetyk z podziałem na planujące MPK,</w:t>
            </w:r>
          </w:p>
        </w:tc>
        <w:tc>
          <w:tcPr>
            <w:tcW w:w="850" w:type="dxa"/>
            <w:tcBorders>
              <w:top w:val="nil"/>
              <w:left w:val="nil"/>
              <w:bottom w:val="single" w:sz="8" w:space="0" w:color="auto"/>
              <w:right w:val="single" w:sz="8" w:space="0" w:color="auto"/>
            </w:tcBorders>
            <w:shd w:val="clear" w:color="auto" w:fill="auto"/>
            <w:vAlign w:val="center"/>
            <w:hideMark/>
          </w:tcPr>
          <w:p w14:paraId="78A6DC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5A9EBE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0DE4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2.2.2. Widok informacji o wartości oraz realizacji planu z wyszczególnieniem na MPK.</w:t>
            </w:r>
          </w:p>
        </w:tc>
        <w:tc>
          <w:tcPr>
            <w:tcW w:w="850" w:type="dxa"/>
            <w:tcBorders>
              <w:top w:val="nil"/>
              <w:left w:val="nil"/>
              <w:bottom w:val="single" w:sz="8" w:space="0" w:color="auto"/>
              <w:right w:val="single" w:sz="8" w:space="0" w:color="auto"/>
            </w:tcBorders>
            <w:shd w:val="clear" w:color="auto" w:fill="auto"/>
            <w:vAlign w:val="center"/>
            <w:hideMark/>
          </w:tcPr>
          <w:p w14:paraId="5F1437B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496B0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CBCBE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Syntetyki (grupy materiałowe indeksów):</w:t>
            </w:r>
          </w:p>
        </w:tc>
        <w:tc>
          <w:tcPr>
            <w:tcW w:w="850" w:type="dxa"/>
            <w:tcBorders>
              <w:top w:val="nil"/>
              <w:left w:val="nil"/>
              <w:bottom w:val="single" w:sz="8" w:space="0" w:color="auto"/>
              <w:right w:val="single" w:sz="8" w:space="0" w:color="auto"/>
            </w:tcBorders>
            <w:shd w:val="clear" w:color="000000" w:fill="A6A6A6"/>
            <w:vAlign w:val="center"/>
            <w:hideMark/>
          </w:tcPr>
          <w:p w14:paraId="5F59D4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C29559C"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9CA6F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Widok dla uprawnionych użytkowników dla danego MPK:</w:t>
            </w:r>
            <w:r w:rsidRPr="00B97E7A">
              <w:rPr>
                <w:rFonts w:ascii="Times New Roman" w:eastAsia="Times New Roman" w:hAnsi="Times New Roman" w:cs="Times New Roman"/>
                <w:kern w:val="0"/>
                <w:sz w:val="28"/>
                <w:szCs w:val="28"/>
                <w:lang w:eastAsia="pl-PL"/>
                <w14:ligatures w14:val="none"/>
              </w:rPr>
              <w:br/>
              <w:t>3.1.1. Symbole i nazwy syntetyk,</w:t>
            </w:r>
            <w:r w:rsidRPr="00B97E7A">
              <w:rPr>
                <w:rFonts w:ascii="Times New Roman" w:eastAsia="Times New Roman" w:hAnsi="Times New Roman" w:cs="Times New Roman"/>
                <w:kern w:val="0"/>
                <w:sz w:val="28"/>
                <w:szCs w:val="28"/>
                <w:lang w:eastAsia="pl-PL"/>
                <w14:ligatures w14:val="none"/>
              </w:rPr>
              <w:br/>
              <w:t>3.1.2. Lista indeksów powiązanych z wybraną syntetyką,</w:t>
            </w:r>
            <w:r w:rsidRPr="00B97E7A">
              <w:rPr>
                <w:rFonts w:ascii="Times New Roman" w:eastAsia="Times New Roman" w:hAnsi="Times New Roman" w:cs="Times New Roman"/>
                <w:kern w:val="0"/>
                <w:sz w:val="28"/>
                <w:szCs w:val="28"/>
                <w:lang w:eastAsia="pl-PL"/>
                <w14:ligatures w14:val="none"/>
              </w:rPr>
              <w:br/>
              <w:t>3.1.3. Wartość robocza/zatwierdzona planu,</w:t>
            </w:r>
            <w:r w:rsidRPr="00B97E7A">
              <w:rPr>
                <w:rFonts w:ascii="Times New Roman" w:eastAsia="Times New Roman" w:hAnsi="Times New Roman" w:cs="Times New Roman"/>
                <w:kern w:val="0"/>
                <w:sz w:val="28"/>
                <w:szCs w:val="28"/>
                <w:lang w:eastAsia="pl-PL"/>
                <w14:ligatures w14:val="none"/>
              </w:rPr>
              <w:br/>
              <w:t>3.1.4. Wartość oraz procent zrealizowania planu,</w:t>
            </w:r>
            <w:r w:rsidRPr="00B97E7A">
              <w:rPr>
                <w:rFonts w:ascii="Times New Roman" w:eastAsia="Times New Roman" w:hAnsi="Times New Roman" w:cs="Times New Roman"/>
                <w:kern w:val="0"/>
                <w:sz w:val="28"/>
                <w:szCs w:val="28"/>
                <w:lang w:eastAsia="pl-PL"/>
                <w14:ligatures w14:val="none"/>
              </w:rPr>
              <w:br/>
              <w:t>3.1.5. Wartość oraz procent planu do zrealizowania.</w:t>
            </w:r>
          </w:p>
        </w:tc>
        <w:tc>
          <w:tcPr>
            <w:tcW w:w="850" w:type="dxa"/>
            <w:tcBorders>
              <w:top w:val="nil"/>
              <w:left w:val="nil"/>
              <w:bottom w:val="single" w:sz="8" w:space="0" w:color="auto"/>
              <w:right w:val="single" w:sz="8" w:space="0" w:color="auto"/>
            </w:tcBorders>
            <w:shd w:val="clear" w:color="auto" w:fill="auto"/>
            <w:vAlign w:val="center"/>
            <w:hideMark/>
          </w:tcPr>
          <w:p w14:paraId="17BF2C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AE6982C"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C5F90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Widok dla pracowników Działu Zaopatrzenia:</w:t>
            </w:r>
            <w:r w:rsidRPr="00B97E7A">
              <w:rPr>
                <w:rFonts w:ascii="Times New Roman" w:eastAsia="Times New Roman" w:hAnsi="Times New Roman" w:cs="Times New Roman"/>
                <w:kern w:val="0"/>
                <w:sz w:val="28"/>
                <w:szCs w:val="28"/>
                <w:lang w:eastAsia="pl-PL"/>
                <w14:ligatures w14:val="none"/>
              </w:rPr>
              <w:br/>
              <w:t>3.2.1. Wartość syntetyki z podziałem na MPK,</w:t>
            </w:r>
            <w:r w:rsidRPr="00B97E7A">
              <w:rPr>
                <w:rFonts w:ascii="Times New Roman" w:eastAsia="Times New Roman" w:hAnsi="Times New Roman" w:cs="Times New Roman"/>
                <w:kern w:val="0"/>
                <w:sz w:val="28"/>
                <w:szCs w:val="28"/>
                <w:lang w:eastAsia="pl-PL"/>
                <w14:ligatures w14:val="none"/>
              </w:rPr>
              <w:br/>
              <w:t>3.2.2. Wartość robocza/zatwierdzona planu z podziałem na MPK,</w:t>
            </w:r>
            <w:r w:rsidRPr="00B97E7A">
              <w:rPr>
                <w:rFonts w:ascii="Times New Roman" w:eastAsia="Times New Roman" w:hAnsi="Times New Roman" w:cs="Times New Roman"/>
                <w:kern w:val="0"/>
                <w:sz w:val="28"/>
                <w:szCs w:val="28"/>
                <w:lang w:eastAsia="pl-PL"/>
                <w14:ligatures w14:val="none"/>
              </w:rPr>
              <w:br/>
              <w:t>3.2.3. Wartość zrealizowana planu oraz procent z podziałem na MPK,</w:t>
            </w:r>
            <w:r w:rsidRPr="00B97E7A">
              <w:rPr>
                <w:rFonts w:ascii="Times New Roman" w:eastAsia="Times New Roman" w:hAnsi="Times New Roman" w:cs="Times New Roman"/>
                <w:kern w:val="0"/>
                <w:sz w:val="28"/>
                <w:szCs w:val="28"/>
                <w:lang w:eastAsia="pl-PL"/>
                <w14:ligatures w14:val="none"/>
              </w:rPr>
              <w:br/>
              <w:t>3.2.4. Wartość oraz procent planu do zrealizowania z podziałem na MPK.</w:t>
            </w:r>
          </w:p>
        </w:tc>
        <w:tc>
          <w:tcPr>
            <w:tcW w:w="850" w:type="dxa"/>
            <w:tcBorders>
              <w:top w:val="nil"/>
              <w:left w:val="nil"/>
              <w:bottom w:val="single" w:sz="8" w:space="0" w:color="auto"/>
              <w:right w:val="single" w:sz="8" w:space="0" w:color="auto"/>
            </w:tcBorders>
            <w:shd w:val="clear" w:color="auto" w:fill="auto"/>
            <w:vAlign w:val="center"/>
            <w:hideMark/>
          </w:tcPr>
          <w:p w14:paraId="5DEFFD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DA08B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68BF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Planowane indeksy materiałowe:</w:t>
            </w:r>
          </w:p>
        </w:tc>
        <w:tc>
          <w:tcPr>
            <w:tcW w:w="850" w:type="dxa"/>
            <w:tcBorders>
              <w:top w:val="nil"/>
              <w:left w:val="nil"/>
              <w:bottom w:val="single" w:sz="8" w:space="0" w:color="auto"/>
              <w:right w:val="single" w:sz="8" w:space="0" w:color="auto"/>
            </w:tcBorders>
            <w:shd w:val="clear" w:color="auto" w:fill="auto"/>
            <w:vAlign w:val="center"/>
            <w:hideMark/>
          </w:tcPr>
          <w:p w14:paraId="5C8C4FB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6A02F1F"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8D8FB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4.1. Widok dla wszystkich użytkowników:</w:t>
            </w:r>
            <w:r w:rsidRPr="00B97E7A">
              <w:rPr>
                <w:rFonts w:ascii="Times New Roman" w:eastAsia="Times New Roman" w:hAnsi="Times New Roman" w:cs="Times New Roman"/>
                <w:kern w:val="0"/>
                <w:sz w:val="28"/>
                <w:szCs w:val="28"/>
                <w:lang w:eastAsia="pl-PL"/>
                <w14:ligatures w14:val="none"/>
              </w:rPr>
              <w:br/>
              <w:t>4.1.1. Numer i nazwa indeksu,</w:t>
            </w:r>
            <w:r w:rsidRPr="00B97E7A">
              <w:rPr>
                <w:rFonts w:ascii="Times New Roman" w:eastAsia="Times New Roman" w:hAnsi="Times New Roman" w:cs="Times New Roman"/>
                <w:kern w:val="0"/>
                <w:sz w:val="28"/>
                <w:szCs w:val="28"/>
                <w:lang w:eastAsia="pl-PL"/>
                <w14:ligatures w14:val="none"/>
              </w:rPr>
              <w:br/>
              <w:t>4.1.2. Jednostka miary indeksu,</w:t>
            </w:r>
            <w:r w:rsidRPr="00B97E7A">
              <w:rPr>
                <w:rFonts w:ascii="Times New Roman" w:eastAsia="Times New Roman" w:hAnsi="Times New Roman" w:cs="Times New Roman"/>
                <w:kern w:val="0"/>
                <w:sz w:val="28"/>
                <w:szCs w:val="28"/>
                <w:lang w:eastAsia="pl-PL"/>
                <w14:ligatures w14:val="none"/>
              </w:rPr>
              <w:br/>
              <w:t>4.1.3. Cena szacowana dla zaplanowanego materiału,</w:t>
            </w:r>
            <w:r w:rsidRPr="00B97E7A">
              <w:rPr>
                <w:rFonts w:ascii="Times New Roman" w:eastAsia="Times New Roman" w:hAnsi="Times New Roman" w:cs="Times New Roman"/>
                <w:kern w:val="0"/>
                <w:sz w:val="28"/>
                <w:szCs w:val="28"/>
                <w:lang w:eastAsia="pl-PL"/>
                <w14:ligatures w14:val="none"/>
              </w:rPr>
              <w:br/>
              <w:t>4.1.4. Wartość szacowana.</w:t>
            </w:r>
          </w:p>
        </w:tc>
        <w:tc>
          <w:tcPr>
            <w:tcW w:w="850" w:type="dxa"/>
            <w:tcBorders>
              <w:top w:val="nil"/>
              <w:left w:val="nil"/>
              <w:bottom w:val="single" w:sz="8" w:space="0" w:color="auto"/>
              <w:right w:val="single" w:sz="8" w:space="0" w:color="auto"/>
            </w:tcBorders>
            <w:shd w:val="clear" w:color="auto" w:fill="auto"/>
            <w:vAlign w:val="center"/>
            <w:hideMark/>
          </w:tcPr>
          <w:p w14:paraId="51CFA95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311A9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3C86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Widok dla pracowników Działu Zaopatrzenia:</w:t>
            </w:r>
            <w:r w:rsidRPr="00B97E7A">
              <w:rPr>
                <w:rFonts w:ascii="Times New Roman" w:eastAsia="Times New Roman" w:hAnsi="Times New Roman" w:cs="Times New Roman"/>
                <w:kern w:val="0"/>
                <w:sz w:val="28"/>
                <w:szCs w:val="28"/>
                <w:lang w:eastAsia="pl-PL"/>
                <w14:ligatures w14:val="none"/>
              </w:rPr>
              <w:br/>
              <w:t>4.2.1. Ilość planowana z podziałem na MPK,</w:t>
            </w:r>
            <w:r w:rsidRPr="00B97E7A">
              <w:rPr>
                <w:rFonts w:ascii="Times New Roman" w:eastAsia="Times New Roman" w:hAnsi="Times New Roman" w:cs="Times New Roman"/>
                <w:kern w:val="0"/>
                <w:sz w:val="28"/>
                <w:szCs w:val="28"/>
                <w:lang w:eastAsia="pl-PL"/>
                <w14:ligatures w14:val="none"/>
              </w:rPr>
              <w:br/>
              <w:t>4.2.2. Ilość planowana w podziale na branże,</w:t>
            </w:r>
            <w:r w:rsidRPr="00B97E7A">
              <w:rPr>
                <w:rFonts w:ascii="Times New Roman" w:eastAsia="Times New Roman" w:hAnsi="Times New Roman" w:cs="Times New Roman"/>
                <w:kern w:val="0"/>
                <w:sz w:val="28"/>
                <w:szCs w:val="28"/>
                <w:lang w:eastAsia="pl-PL"/>
                <w14:ligatures w14:val="none"/>
              </w:rPr>
              <w:br/>
              <w:t>4.2.3. Ilość planowana w podziale na syntetyki.</w:t>
            </w:r>
          </w:p>
        </w:tc>
        <w:tc>
          <w:tcPr>
            <w:tcW w:w="850" w:type="dxa"/>
            <w:tcBorders>
              <w:top w:val="nil"/>
              <w:left w:val="nil"/>
              <w:bottom w:val="single" w:sz="8" w:space="0" w:color="auto"/>
              <w:right w:val="single" w:sz="8" w:space="0" w:color="auto"/>
            </w:tcBorders>
            <w:shd w:val="clear" w:color="auto" w:fill="auto"/>
            <w:vAlign w:val="center"/>
            <w:hideMark/>
          </w:tcPr>
          <w:p w14:paraId="2EF7958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4EC39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D4E61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Czynności:</w:t>
            </w:r>
          </w:p>
        </w:tc>
        <w:tc>
          <w:tcPr>
            <w:tcW w:w="850" w:type="dxa"/>
            <w:tcBorders>
              <w:top w:val="nil"/>
              <w:left w:val="nil"/>
              <w:bottom w:val="single" w:sz="8" w:space="0" w:color="auto"/>
              <w:right w:val="single" w:sz="8" w:space="0" w:color="auto"/>
            </w:tcBorders>
            <w:shd w:val="clear" w:color="000000" w:fill="A6A6A6"/>
            <w:vAlign w:val="center"/>
            <w:hideMark/>
          </w:tcPr>
          <w:p w14:paraId="638B1FC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E61515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B2A82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Możliwość wygenerowania arkusza roboczego nowego planu na podstawie zużycia materiałów w poprzednim roku z możliwością uzupełnienia oraz usunięcia niepotrzebnych indeksów,</w:t>
            </w:r>
          </w:p>
        </w:tc>
        <w:tc>
          <w:tcPr>
            <w:tcW w:w="850" w:type="dxa"/>
            <w:tcBorders>
              <w:top w:val="nil"/>
              <w:left w:val="nil"/>
              <w:bottom w:val="single" w:sz="8" w:space="0" w:color="auto"/>
              <w:right w:val="single" w:sz="8" w:space="0" w:color="auto"/>
            </w:tcBorders>
            <w:shd w:val="clear" w:color="auto" w:fill="auto"/>
            <w:vAlign w:val="center"/>
            <w:hideMark/>
          </w:tcPr>
          <w:p w14:paraId="2BEA162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E06C03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79D7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Możliwość wyszukiwania materiałów po indeksie i nazwie na każdym etapie, także planowania,</w:t>
            </w:r>
          </w:p>
        </w:tc>
        <w:tc>
          <w:tcPr>
            <w:tcW w:w="850" w:type="dxa"/>
            <w:tcBorders>
              <w:top w:val="nil"/>
              <w:left w:val="nil"/>
              <w:bottom w:val="single" w:sz="8" w:space="0" w:color="auto"/>
              <w:right w:val="single" w:sz="8" w:space="0" w:color="auto"/>
            </w:tcBorders>
            <w:shd w:val="clear" w:color="auto" w:fill="auto"/>
            <w:vAlign w:val="center"/>
            <w:hideMark/>
          </w:tcPr>
          <w:p w14:paraId="0B5EC7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CD3E51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0817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Brak możliwość wykorzystywania indeksów zablokowanych w centralnej kartotece indeksów.</w:t>
            </w:r>
          </w:p>
        </w:tc>
        <w:tc>
          <w:tcPr>
            <w:tcW w:w="850" w:type="dxa"/>
            <w:tcBorders>
              <w:top w:val="nil"/>
              <w:left w:val="nil"/>
              <w:bottom w:val="single" w:sz="8" w:space="0" w:color="auto"/>
              <w:right w:val="single" w:sz="8" w:space="0" w:color="auto"/>
            </w:tcBorders>
            <w:shd w:val="clear" w:color="auto" w:fill="auto"/>
            <w:vAlign w:val="center"/>
            <w:hideMark/>
          </w:tcPr>
          <w:p w14:paraId="7585106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488DB4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076AF5"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REJESTRACJA ZAKUPOWA PLANU</w:t>
            </w:r>
          </w:p>
        </w:tc>
        <w:tc>
          <w:tcPr>
            <w:tcW w:w="850" w:type="dxa"/>
            <w:tcBorders>
              <w:top w:val="nil"/>
              <w:left w:val="nil"/>
              <w:bottom w:val="single" w:sz="8" w:space="0" w:color="auto"/>
              <w:right w:val="single" w:sz="8" w:space="0" w:color="auto"/>
            </w:tcBorders>
            <w:shd w:val="clear" w:color="000000" w:fill="A6A6A6"/>
            <w:vAlign w:val="center"/>
            <w:hideMark/>
          </w:tcPr>
          <w:p w14:paraId="0F9F122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D2006C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52177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Umowy długoterminowe (wielokrotne dostawy) i jednorazowe obejmujące:</w:t>
            </w:r>
          </w:p>
        </w:tc>
        <w:tc>
          <w:tcPr>
            <w:tcW w:w="850" w:type="dxa"/>
            <w:tcBorders>
              <w:top w:val="nil"/>
              <w:left w:val="nil"/>
              <w:bottom w:val="single" w:sz="8" w:space="0" w:color="auto"/>
              <w:right w:val="single" w:sz="8" w:space="0" w:color="auto"/>
            </w:tcBorders>
            <w:shd w:val="clear" w:color="000000" w:fill="A6A6A6"/>
            <w:vAlign w:val="center"/>
            <w:hideMark/>
          </w:tcPr>
          <w:p w14:paraId="755A87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AD306E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B18C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określenia dowolnego statusu,</w:t>
            </w:r>
          </w:p>
        </w:tc>
        <w:tc>
          <w:tcPr>
            <w:tcW w:w="850" w:type="dxa"/>
            <w:tcBorders>
              <w:top w:val="nil"/>
              <w:left w:val="nil"/>
              <w:bottom w:val="single" w:sz="8" w:space="0" w:color="auto"/>
              <w:right w:val="single" w:sz="8" w:space="0" w:color="auto"/>
            </w:tcBorders>
            <w:shd w:val="clear" w:color="auto" w:fill="auto"/>
            <w:vAlign w:val="center"/>
            <w:hideMark/>
          </w:tcPr>
          <w:p w14:paraId="7671E7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F8595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BCF1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automatycznej zmiany statusu po wygaśnięciu terminu umowy,</w:t>
            </w:r>
          </w:p>
        </w:tc>
        <w:tc>
          <w:tcPr>
            <w:tcW w:w="850" w:type="dxa"/>
            <w:tcBorders>
              <w:top w:val="nil"/>
              <w:left w:val="nil"/>
              <w:bottom w:val="single" w:sz="8" w:space="0" w:color="auto"/>
              <w:right w:val="single" w:sz="8" w:space="0" w:color="auto"/>
            </w:tcBorders>
            <w:shd w:val="clear" w:color="auto" w:fill="auto"/>
            <w:vAlign w:val="center"/>
            <w:hideMark/>
          </w:tcPr>
          <w:p w14:paraId="579292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A4E4B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87B5F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generowania specyfikacji ilościowo wartościowej do Umów na podstawie planów,</w:t>
            </w:r>
          </w:p>
        </w:tc>
        <w:tc>
          <w:tcPr>
            <w:tcW w:w="850" w:type="dxa"/>
            <w:tcBorders>
              <w:top w:val="nil"/>
              <w:left w:val="nil"/>
              <w:bottom w:val="single" w:sz="8" w:space="0" w:color="auto"/>
              <w:right w:val="single" w:sz="8" w:space="0" w:color="auto"/>
            </w:tcBorders>
            <w:shd w:val="clear" w:color="auto" w:fill="auto"/>
            <w:vAlign w:val="center"/>
            <w:hideMark/>
          </w:tcPr>
          <w:p w14:paraId="475DC0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AF5CA4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E7F4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rejestracji nowych umów oraz podpinania aneksów,</w:t>
            </w:r>
          </w:p>
        </w:tc>
        <w:tc>
          <w:tcPr>
            <w:tcW w:w="850" w:type="dxa"/>
            <w:tcBorders>
              <w:top w:val="nil"/>
              <w:left w:val="nil"/>
              <w:bottom w:val="single" w:sz="8" w:space="0" w:color="auto"/>
              <w:right w:val="single" w:sz="8" w:space="0" w:color="auto"/>
            </w:tcBorders>
            <w:shd w:val="clear" w:color="auto" w:fill="auto"/>
            <w:vAlign w:val="center"/>
            <w:hideMark/>
          </w:tcPr>
          <w:p w14:paraId="6FA7946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5F514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5EC88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powiązania indeksów materiałowych wraz z cenami z umową/aneksem,</w:t>
            </w:r>
          </w:p>
        </w:tc>
        <w:tc>
          <w:tcPr>
            <w:tcW w:w="850" w:type="dxa"/>
            <w:tcBorders>
              <w:top w:val="nil"/>
              <w:left w:val="nil"/>
              <w:bottom w:val="single" w:sz="8" w:space="0" w:color="auto"/>
              <w:right w:val="single" w:sz="8" w:space="0" w:color="auto"/>
            </w:tcBorders>
            <w:shd w:val="clear" w:color="auto" w:fill="auto"/>
            <w:vAlign w:val="center"/>
            <w:hideMark/>
          </w:tcPr>
          <w:p w14:paraId="593F099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1F3F4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BCDF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Kontrola terminu obowiązującej umowy (wyświetli się automatycznie po wcześniejszym wprowadzeniu nr umowy), po upływie którego wartości zakupów indeksów z umowy nie przypiszą się już do realizacji danej umowy,</w:t>
            </w:r>
          </w:p>
        </w:tc>
        <w:tc>
          <w:tcPr>
            <w:tcW w:w="850" w:type="dxa"/>
            <w:tcBorders>
              <w:top w:val="nil"/>
              <w:left w:val="nil"/>
              <w:bottom w:val="single" w:sz="8" w:space="0" w:color="auto"/>
              <w:right w:val="single" w:sz="8" w:space="0" w:color="auto"/>
            </w:tcBorders>
            <w:shd w:val="clear" w:color="auto" w:fill="auto"/>
            <w:vAlign w:val="center"/>
            <w:hideMark/>
          </w:tcPr>
          <w:p w14:paraId="51E8C6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394D2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CB3EF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1.7. Możliwość aktualizacji ręcznej cen z nowych umów/aneksów na wybranych indeksach (ręczne wprowadzenie cen z umowy),</w:t>
            </w:r>
          </w:p>
        </w:tc>
        <w:tc>
          <w:tcPr>
            <w:tcW w:w="850" w:type="dxa"/>
            <w:tcBorders>
              <w:top w:val="nil"/>
              <w:left w:val="nil"/>
              <w:bottom w:val="single" w:sz="8" w:space="0" w:color="auto"/>
              <w:right w:val="single" w:sz="8" w:space="0" w:color="auto"/>
            </w:tcBorders>
            <w:shd w:val="clear" w:color="auto" w:fill="auto"/>
            <w:vAlign w:val="center"/>
            <w:hideMark/>
          </w:tcPr>
          <w:p w14:paraId="4F3C529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5C09F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5203B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określania terminów dostaw w dniach,</w:t>
            </w:r>
          </w:p>
        </w:tc>
        <w:tc>
          <w:tcPr>
            <w:tcW w:w="850" w:type="dxa"/>
            <w:tcBorders>
              <w:top w:val="nil"/>
              <w:left w:val="nil"/>
              <w:bottom w:val="single" w:sz="8" w:space="0" w:color="auto"/>
              <w:right w:val="single" w:sz="8" w:space="0" w:color="auto"/>
            </w:tcBorders>
            <w:shd w:val="clear" w:color="auto" w:fill="auto"/>
            <w:vAlign w:val="center"/>
            <w:hideMark/>
          </w:tcPr>
          <w:p w14:paraId="4A65A4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DDE2F1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F812B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przypisywania osób odpowiedzialnych za realizację umów oraz automatyczna aktualizacja danych na wszystkich wystawianych dokumentach powiązanych z daną umową (zapotrzebowania, przyjęcie dostaw, zamówienia, faktury).</w:t>
            </w:r>
          </w:p>
        </w:tc>
        <w:tc>
          <w:tcPr>
            <w:tcW w:w="850" w:type="dxa"/>
            <w:tcBorders>
              <w:top w:val="nil"/>
              <w:left w:val="nil"/>
              <w:bottom w:val="single" w:sz="8" w:space="0" w:color="auto"/>
              <w:right w:val="single" w:sz="8" w:space="0" w:color="auto"/>
            </w:tcBorders>
            <w:shd w:val="clear" w:color="auto" w:fill="auto"/>
            <w:vAlign w:val="center"/>
            <w:hideMark/>
          </w:tcPr>
          <w:p w14:paraId="70F2CE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96A51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C112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Protokoły wartościowe:</w:t>
            </w:r>
          </w:p>
        </w:tc>
        <w:tc>
          <w:tcPr>
            <w:tcW w:w="850" w:type="dxa"/>
            <w:tcBorders>
              <w:top w:val="nil"/>
              <w:left w:val="nil"/>
              <w:bottom w:val="single" w:sz="8" w:space="0" w:color="auto"/>
              <w:right w:val="single" w:sz="8" w:space="0" w:color="auto"/>
            </w:tcBorders>
            <w:shd w:val="clear" w:color="000000" w:fill="A6A6A6"/>
            <w:vAlign w:val="center"/>
            <w:hideMark/>
          </w:tcPr>
          <w:p w14:paraId="6CEE57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08097F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4858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Rejestracja umów wartościowych bez wskazywania indeksów i cen zakupów,</w:t>
            </w:r>
          </w:p>
        </w:tc>
        <w:tc>
          <w:tcPr>
            <w:tcW w:w="850" w:type="dxa"/>
            <w:tcBorders>
              <w:top w:val="nil"/>
              <w:left w:val="nil"/>
              <w:bottom w:val="single" w:sz="8" w:space="0" w:color="auto"/>
              <w:right w:val="single" w:sz="8" w:space="0" w:color="auto"/>
            </w:tcBorders>
            <w:shd w:val="clear" w:color="auto" w:fill="auto"/>
            <w:vAlign w:val="center"/>
            <w:hideMark/>
          </w:tcPr>
          <w:p w14:paraId="26658A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A2AE4C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53A62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Przypisywanie wartości realizacji umowy do poszczególnych MPK-ów,</w:t>
            </w:r>
          </w:p>
        </w:tc>
        <w:tc>
          <w:tcPr>
            <w:tcW w:w="850" w:type="dxa"/>
            <w:tcBorders>
              <w:top w:val="nil"/>
              <w:left w:val="nil"/>
              <w:bottom w:val="single" w:sz="8" w:space="0" w:color="auto"/>
              <w:right w:val="single" w:sz="8" w:space="0" w:color="auto"/>
            </w:tcBorders>
            <w:shd w:val="clear" w:color="auto" w:fill="auto"/>
            <w:vAlign w:val="center"/>
            <w:hideMark/>
          </w:tcPr>
          <w:p w14:paraId="241A90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E36377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9867C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Kontrola realizacji wartościowej.</w:t>
            </w:r>
          </w:p>
        </w:tc>
        <w:tc>
          <w:tcPr>
            <w:tcW w:w="850" w:type="dxa"/>
            <w:tcBorders>
              <w:top w:val="nil"/>
              <w:left w:val="nil"/>
              <w:bottom w:val="single" w:sz="8" w:space="0" w:color="auto"/>
              <w:right w:val="single" w:sz="8" w:space="0" w:color="auto"/>
            </w:tcBorders>
            <w:shd w:val="clear" w:color="auto" w:fill="auto"/>
            <w:vAlign w:val="center"/>
            <w:hideMark/>
          </w:tcPr>
          <w:p w14:paraId="53D35A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F2A73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FBFF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Przypisywanie wewnętrznych wniosków na zakup zgodnie z regulaminem wewnętrznym spółki. Integracja z bazą Lotus Notes (możliwość podpięcia numeru z rejestru wniosku na umowie, protokole i aktualizacja danych na fakturze zakupu).</w:t>
            </w:r>
          </w:p>
        </w:tc>
        <w:tc>
          <w:tcPr>
            <w:tcW w:w="850" w:type="dxa"/>
            <w:tcBorders>
              <w:top w:val="nil"/>
              <w:left w:val="nil"/>
              <w:bottom w:val="single" w:sz="8" w:space="0" w:color="auto"/>
              <w:right w:val="single" w:sz="8" w:space="0" w:color="auto"/>
            </w:tcBorders>
            <w:shd w:val="clear" w:color="auto" w:fill="auto"/>
            <w:vAlign w:val="center"/>
            <w:hideMark/>
          </w:tcPr>
          <w:p w14:paraId="4E7AD96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74890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050926"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KONTROLA REALIZACJI PZM</w:t>
            </w:r>
          </w:p>
        </w:tc>
        <w:tc>
          <w:tcPr>
            <w:tcW w:w="850" w:type="dxa"/>
            <w:tcBorders>
              <w:top w:val="nil"/>
              <w:left w:val="nil"/>
              <w:bottom w:val="single" w:sz="8" w:space="0" w:color="auto"/>
              <w:right w:val="single" w:sz="8" w:space="0" w:color="auto"/>
            </w:tcBorders>
            <w:shd w:val="clear" w:color="000000" w:fill="A6A6A6"/>
            <w:vAlign w:val="center"/>
            <w:hideMark/>
          </w:tcPr>
          <w:p w14:paraId="553CC4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5A3E7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E3C33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Podgląd realizacji planów zakupowych.</w:t>
            </w:r>
          </w:p>
        </w:tc>
        <w:tc>
          <w:tcPr>
            <w:tcW w:w="850" w:type="dxa"/>
            <w:tcBorders>
              <w:top w:val="nil"/>
              <w:left w:val="nil"/>
              <w:bottom w:val="single" w:sz="8" w:space="0" w:color="auto"/>
              <w:right w:val="single" w:sz="8" w:space="0" w:color="auto"/>
            </w:tcBorders>
            <w:shd w:val="clear" w:color="auto" w:fill="auto"/>
            <w:vAlign w:val="center"/>
            <w:hideMark/>
          </w:tcPr>
          <w:p w14:paraId="1DC625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D51B7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EBB0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Podgląd realizacji umów:</w:t>
            </w:r>
          </w:p>
        </w:tc>
        <w:tc>
          <w:tcPr>
            <w:tcW w:w="850" w:type="dxa"/>
            <w:tcBorders>
              <w:top w:val="nil"/>
              <w:left w:val="nil"/>
              <w:bottom w:val="single" w:sz="8" w:space="0" w:color="auto"/>
              <w:right w:val="single" w:sz="8" w:space="0" w:color="auto"/>
            </w:tcBorders>
            <w:shd w:val="clear" w:color="000000" w:fill="A6A6A6"/>
            <w:vAlign w:val="center"/>
            <w:hideMark/>
          </w:tcPr>
          <w:p w14:paraId="6BCC1F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A2E3B6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8BE3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Kontrola i podgląd dokumentów (zapotrzebowania, PZ, zamówienia wychodzące),</w:t>
            </w:r>
          </w:p>
        </w:tc>
        <w:tc>
          <w:tcPr>
            <w:tcW w:w="850" w:type="dxa"/>
            <w:tcBorders>
              <w:top w:val="nil"/>
              <w:left w:val="nil"/>
              <w:bottom w:val="single" w:sz="8" w:space="0" w:color="auto"/>
              <w:right w:val="single" w:sz="8" w:space="0" w:color="auto"/>
            </w:tcBorders>
            <w:shd w:val="clear" w:color="auto" w:fill="auto"/>
            <w:vAlign w:val="center"/>
            <w:hideMark/>
          </w:tcPr>
          <w:p w14:paraId="4398DB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95B75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A9B3B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Kontrola wartościowa całej umowy (kontrola ilościowo-wartościowa pozycji),</w:t>
            </w:r>
          </w:p>
        </w:tc>
        <w:tc>
          <w:tcPr>
            <w:tcW w:w="850" w:type="dxa"/>
            <w:tcBorders>
              <w:top w:val="nil"/>
              <w:left w:val="nil"/>
              <w:bottom w:val="single" w:sz="8" w:space="0" w:color="auto"/>
              <w:right w:val="single" w:sz="8" w:space="0" w:color="auto"/>
            </w:tcBorders>
            <w:shd w:val="clear" w:color="auto" w:fill="auto"/>
            <w:vAlign w:val="center"/>
            <w:hideMark/>
          </w:tcPr>
          <w:p w14:paraId="1B5F35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4A10D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A848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Kontrola terminów zakończenia umowy.</w:t>
            </w:r>
          </w:p>
        </w:tc>
        <w:tc>
          <w:tcPr>
            <w:tcW w:w="850" w:type="dxa"/>
            <w:tcBorders>
              <w:top w:val="nil"/>
              <w:left w:val="nil"/>
              <w:bottom w:val="single" w:sz="8" w:space="0" w:color="auto"/>
              <w:right w:val="single" w:sz="8" w:space="0" w:color="auto"/>
            </w:tcBorders>
            <w:shd w:val="clear" w:color="auto" w:fill="auto"/>
            <w:vAlign w:val="center"/>
            <w:hideMark/>
          </w:tcPr>
          <w:p w14:paraId="12F2F91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50E944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73DD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Automatyczne odkładanie się wartości do aktualnych umów po rejestracji dokumentów PZ:</w:t>
            </w:r>
          </w:p>
        </w:tc>
        <w:tc>
          <w:tcPr>
            <w:tcW w:w="850" w:type="dxa"/>
            <w:tcBorders>
              <w:top w:val="nil"/>
              <w:left w:val="nil"/>
              <w:bottom w:val="single" w:sz="8" w:space="0" w:color="auto"/>
              <w:right w:val="single" w:sz="8" w:space="0" w:color="auto"/>
            </w:tcBorders>
            <w:shd w:val="clear" w:color="000000" w:fill="A6A6A6"/>
            <w:vAlign w:val="center"/>
            <w:hideMark/>
          </w:tcPr>
          <w:p w14:paraId="59FC74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0439A8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5AC3E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możliwość sprawdzenia poszczególnych indeksów pod kątem ilości planowej przez dany MPK,</w:t>
            </w:r>
          </w:p>
        </w:tc>
        <w:tc>
          <w:tcPr>
            <w:tcW w:w="850" w:type="dxa"/>
            <w:tcBorders>
              <w:top w:val="nil"/>
              <w:left w:val="nil"/>
              <w:bottom w:val="single" w:sz="8" w:space="0" w:color="auto"/>
              <w:right w:val="single" w:sz="8" w:space="0" w:color="auto"/>
            </w:tcBorders>
            <w:shd w:val="clear" w:color="auto" w:fill="auto"/>
            <w:vAlign w:val="center"/>
            <w:hideMark/>
          </w:tcPr>
          <w:p w14:paraId="441A4E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DC230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8C5F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3.2. możliwość wyszukiwania indeksów po nazwie lub nr indeksu,</w:t>
            </w:r>
          </w:p>
        </w:tc>
        <w:tc>
          <w:tcPr>
            <w:tcW w:w="850" w:type="dxa"/>
            <w:tcBorders>
              <w:top w:val="nil"/>
              <w:left w:val="nil"/>
              <w:bottom w:val="single" w:sz="8" w:space="0" w:color="auto"/>
              <w:right w:val="single" w:sz="8" w:space="0" w:color="auto"/>
            </w:tcBorders>
            <w:shd w:val="clear" w:color="auto" w:fill="auto"/>
            <w:vAlign w:val="center"/>
            <w:hideMark/>
          </w:tcPr>
          <w:p w14:paraId="303964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383CAC1"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396DC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zaplanowana ilość na poszczególnych indeksach będzie jednocześnie rezerwacją do wystawienia zapotrzebowania przez dany MPK. Blokada możliwości wystawienia zapotrzebowania zgodnego z planem zakupów przez MPK, który nie ujął danego indeksu w planie zakupów (automatyczne generowanie zapotrzebowania poza planem),</w:t>
            </w:r>
          </w:p>
        </w:tc>
        <w:tc>
          <w:tcPr>
            <w:tcW w:w="850" w:type="dxa"/>
            <w:tcBorders>
              <w:top w:val="nil"/>
              <w:left w:val="nil"/>
              <w:bottom w:val="single" w:sz="8" w:space="0" w:color="auto"/>
              <w:right w:val="single" w:sz="8" w:space="0" w:color="auto"/>
            </w:tcBorders>
            <w:shd w:val="clear" w:color="auto" w:fill="auto"/>
            <w:vAlign w:val="center"/>
            <w:hideMark/>
          </w:tcPr>
          <w:p w14:paraId="323482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ADA738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06226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3.4. ilość materiału przyjęta dokumentem PZ z możliwością podglądu tych dokumentów (PZ),</w:t>
            </w:r>
          </w:p>
        </w:tc>
        <w:tc>
          <w:tcPr>
            <w:tcW w:w="850" w:type="dxa"/>
            <w:tcBorders>
              <w:top w:val="nil"/>
              <w:left w:val="nil"/>
              <w:bottom w:val="single" w:sz="8" w:space="0" w:color="auto"/>
              <w:right w:val="single" w:sz="8" w:space="0" w:color="auto"/>
            </w:tcBorders>
            <w:shd w:val="clear" w:color="auto" w:fill="auto"/>
            <w:vAlign w:val="center"/>
            <w:hideMark/>
          </w:tcPr>
          <w:p w14:paraId="1062D6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AECAD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8F745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3.5. wartość zakupów materiałowych przyjętych dokumentem PZ,</w:t>
            </w:r>
          </w:p>
        </w:tc>
        <w:tc>
          <w:tcPr>
            <w:tcW w:w="850" w:type="dxa"/>
            <w:tcBorders>
              <w:top w:val="nil"/>
              <w:left w:val="nil"/>
              <w:bottom w:val="single" w:sz="8" w:space="0" w:color="auto"/>
              <w:right w:val="single" w:sz="8" w:space="0" w:color="auto"/>
            </w:tcBorders>
            <w:shd w:val="clear" w:color="auto" w:fill="auto"/>
            <w:vAlign w:val="center"/>
            <w:hideMark/>
          </w:tcPr>
          <w:p w14:paraId="3F6FD79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A9957D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A7A3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ilość materiału, która pozostała jeszcze do realizacji,</w:t>
            </w:r>
          </w:p>
        </w:tc>
        <w:tc>
          <w:tcPr>
            <w:tcW w:w="850" w:type="dxa"/>
            <w:tcBorders>
              <w:top w:val="nil"/>
              <w:left w:val="nil"/>
              <w:bottom w:val="single" w:sz="8" w:space="0" w:color="auto"/>
              <w:right w:val="single" w:sz="8" w:space="0" w:color="auto"/>
            </w:tcBorders>
            <w:shd w:val="clear" w:color="auto" w:fill="auto"/>
            <w:vAlign w:val="center"/>
            <w:hideMark/>
          </w:tcPr>
          <w:p w14:paraId="163DC4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72742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CB9B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pozostała wartość do realizacji,</w:t>
            </w:r>
          </w:p>
        </w:tc>
        <w:tc>
          <w:tcPr>
            <w:tcW w:w="850" w:type="dxa"/>
            <w:tcBorders>
              <w:top w:val="nil"/>
              <w:left w:val="nil"/>
              <w:bottom w:val="single" w:sz="8" w:space="0" w:color="auto"/>
              <w:right w:val="single" w:sz="8" w:space="0" w:color="auto"/>
            </w:tcBorders>
            <w:shd w:val="clear" w:color="auto" w:fill="auto"/>
            <w:vAlign w:val="center"/>
            <w:hideMark/>
          </w:tcPr>
          <w:p w14:paraId="691E8F7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2269A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DE4D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ilość pobrana dokumentem RW z możliwością podglądu tych dokumentów (RW),</w:t>
            </w:r>
          </w:p>
        </w:tc>
        <w:tc>
          <w:tcPr>
            <w:tcW w:w="850" w:type="dxa"/>
            <w:tcBorders>
              <w:top w:val="nil"/>
              <w:left w:val="nil"/>
              <w:bottom w:val="single" w:sz="8" w:space="0" w:color="auto"/>
              <w:right w:val="single" w:sz="8" w:space="0" w:color="auto"/>
            </w:tcBorders>
            <w:shd w:val="clear" w:color="auto" w:fill="auto"/>
            <w:vAlign w:val="center"/>
            <w:hideMark/>
          </w:tcPr>
          <w:p w14:paraId="7C4F88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A3C73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3C284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3.9. wartość zakupów z dokumentów RW,</w:t>
            </w:r>
          </w:p>
        </w:tc>
        <w:tc>
          <w:tcPr>
            <w:tcW w:w="850" w:type="dxa"/>
            <w:tcBorders>
              <w:top w:val="nil"/>
              <w:left w:val="nil"/>
              <w:bottom w:val="single" w:sz="8" w:space="0" w:color="auto"/>
              <w:right w:val="single" w:sz="8" w:space="0" w:color="auto"/>
            </w:tcBorders>
            <w:shd w:val="clear" w:color="auto" w:fill="auto"/>
            <w:vAlign w:val="center"/>
            <w:hideMark/>
          </w:tcPr>
          <w:p w14:paraId="17E1E1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ADCAF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1E45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3.10. wartość PZ dla indeksów przypisanych do umowy automatycznie odkładać się będzie w umowie gdzie znajdować się będzie również procentowana realizacja,</w:t>
            </w:r>
          </w:p>
        </w:tc>
        <w:tc>
          <w:tcPr>
            <w:tcW w:w="850" w:type="dxa"/>
            <w:tcBorders>
              <w:top w:val="nil"/>
              <w:left w:val="nil"/>
              <w:bottom w:val="single" w:sz="8" w:space="0" w:color="auto"/>
              <w:right w:val="single" w:sz="8" w:space="0" w:color="auto"/>
            </w:tcBorders>
            <w:shd w:val="clear" w:color="auto" w:fill="auto"/>
            <w:vAlign w:val="center"/>
            <w:hideMark/>
          </w:tcPr>
          <w:p w14:paraId="795277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292210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4F79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3.11. Wskaźnik realizacji dostaw w terminie i dostaw nieterminowych.</w:t>
            </w:r>
          </w:p>
        </w:tc>
        <w:tc>
          <w:tcPr>
            <w:tcW w:w="850" w:type="dxa"/>
            <w:tcBorders>
              <w:top w:val="nil"/>
              <w:left w:val="nil"/>
              <w:bottom w:val="single" w:sz="8" w:space="0" w:color="auto"/>
              <w:right w:val="single" w:sz="8" w:space="0" w:color="auto"/>
            </w:tcBorders>
            <w:shd w:val="clear" w:color="auto" w:fill="auto"/>
            <w:vAlign w:val="center"/>
            <w:hideMark/>
          </w:tcPr>
          <w:p w14:paraId="54FEEB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6A0E58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09DC0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WYDRUKI</w:t>
            </w:r>
          </w:p>
        </w:tc>
        <w:tc>
          <w:tcPr>
            <w:tcW w:w="850" w:type="dxa"/>
            <w:tcBorders>
              <w:top w:val="nil"/>
              <w:left w:val="nil"/>
              <w:bottom w:val="single" w:sz="8" w:space="0" w:color="auto"/>
              <w:right w:val="single" w:sz="8" w:space="0" w:color="auto"/>
            </w:tcBorders>
            <w:shd w:val="clear" w:color="000000" w:fill="A6A6A6"/>
            <w:vAlign w:val="center"/>
            <w:hideMark/>
          </w:tcPr>
          <w:p w14:paraId="544B44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FF5D1E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9288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generowania wydruków oraz eksportu danych do pliku w wybranym formacie, np. wydruki planu zakupów:</w:t>
            </w:r>
          </w:p>
        </w:tc>
        <w:tc>
          <w:tcPr>
            <w:tcW w:w="850" w:type="dxa"/>
            <w:tcBorders>
              <w:top w:val="nil"/>
              <w:left w:val="nil"/>
              <w:bottom w:val="single" w:sz="8" w:space="0" w:color="auto"/>
              <w:right w:val="single" w:sz="8" w:space="0" w:color="auto"/>
            </w:tcBorders>
            <w:shd w:val="clear" w:color="auto" w:fill="auto"/>
            <w:vAlign w:val="center"/>
            <w:hideMark/>
          </w:tcPr>
          <w:p w14:paraId="2190ED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9F7CE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824D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wydruk wartości planu wg MPK (możliwość zapisu w formacie Excel),</w:t>
            </w:r>
          </w:p>
        </w:tc>
        <w:tc>
          <w:tcPr>
            <w:tcW w:w="850" w:type="dxa"/>
            <w:tcBorders>
              <w:top w:val="nil"/>
              <w:left w:val="nil"/>
              <w:bottom w:val="single" w:sz="8" w:space="0" w:color="auto"/>
              <w:right w:val="single" w:sz="8" w:space="0" w:color="auto"/>
            </w:tcBorders>
            <w:shd w:val="clear" w:color="auto" w:fill="auto"/>
            <w:vAlign w:val="center"/>
            <w:hideMark/>
          </w:tcPr>
          <w:p w14:paraId="35EADF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E5356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8644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wydruk realizacji planu wg MPK, branży, wybranych indeksów za wybrany okres czasowy, z planem/poza planem, na poszczególny projekt (możliwość zapisu w formacie Excel).</w:t>
            </w:r>
          </w:p>
        </w:tc>
        <w:tc>
          <w:tcPr>
            <w:tcW w:w="850" w:type="dxa"/>
            <w:tcBorders>
              <w:top w:val="nil"/>
              <w:left w:val="nil"/>
              <w:bottom w:val="single" w:sz="8" w:space="0" w:color="auto"/>
              <w:right w:val="single" w:sz="8" w:space="0" w:color="auto"/>
            </w:tcBorders>
            <w:shd w:val="clear" w:color="auto" w:fill="auto"/>
            <w:vAlign w:val="center"/>
            <w:hideMark/>
          </w:tcPr>
          <w:p w14:paraId="150F81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EBD58B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3F4F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Wydruki realizowanych umów:</w:t>
            </w:r>
          </w:p>
        </w:tc>
        <w:tc>
          <w:tcPr>
            <w:tcW w:w="850" w:type="dxa"/>
            <w:tcBorders>
              <w:top w:val="nil"/>
              <w:left w:val="nil"/>
              <w:bottom w:val="single" w:sz="8" w:space="0" w:color="auto"/>
              <w:right w:val="single" w:sz="8" w:space="0" w:color="auto"/>
            </w:tcBorders>
            <w:shd w:val="clear" w:color="000000" w:fill="A6A6A6"/>
            <w:vAlign w:val="center"/>
            <w:hideMark/>
          </w:tcPr>
          <w:p w14:paraId="39DE43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DD2D3A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100B4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2.1. Lista kończących się umów w zadanym przedziale czasowym,</w:t>
            </w:r>
          </w:p>
        </w:tc>
        <w:tc>
          <w:tcPr>
            <w:tcW w:w="850" w:type="dxa"/>
            <w:tcBorders>
              <w:top w:val="nil"/>
              <w:left w:val="nil"/>
              <w:bottom w:val="single" w:sz="8" w:space="0" w:color="auto"/>
              <w:right w:val="single" w:sz="8" w:space="0" w:color="auto"/>
            </w:tcBorders>
            <w:shd w:val="clear" w:color="auto" w:fill="auto"/>
            <w:vAlign w:val="center"/>
            <w:hideMark/>
          </w:tcPr>
          <w:p w14:paraId="732BAE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ED0AF4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0F3F8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Procentowa realizacja aktywnych i zamkniętych umów,</w:t>
            </w:r>
          </w:p>
        </w:tc>
        <w:tc>
          <w:tcPr>
            <w:tcW w:w="850" w:type="dxa"/>
            <w:tcBorders>
              <w:top w:val="nil"/>
              <w:left w:val="nil"/>
              <w:bottom w:val="single" w:sz="8" w:space="0" w:color="auto"/>
              <w:right w:val="single" w:sz="8" w:space="0" w:color="auto"/>
            </w:tcBorders>
            <w:shd w:val="clear" w:color="auto" w:fill="auto"/>
            <w:vAlign w:val="center"/>
            <w:hideMark/>
          </w:tcPr>
          <w:p w14:paraId="00051A5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75620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E14D0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Lista umów kończących się przed terminem z uwagi na wartościowy poziom wykonania.</w:t>
            </w:r>
          </w:p>
        </w:tc>
        <w:tc>
          <w:tcPr>
            <w:tcW w:w="850" w:type="dxa"/>
            <w:tcBorders>
              <w:top w:val="nil"/>
              <w:left w:val="nil"/>
              <w:bottom w:val="single" w:sz="8" w:space="0" w:color="auto"/>
              <w:right w:val="single" w:sz="8" w:space="0" w:color="auto"/>
            </w:tcBorders>
            <w:shd w:val="clear" w:color="auto" w:fill="auto"/>
            <w:vAlign w:val="center"/>
            <w:hideMark/>
          </w:tcPr>
          <w:p w14:paraId="0C54CE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3D9CD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3E27F8"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VIII. OBSZAR PLANOWANIA ZAKUPÓW INWESTYCYJNYCH</w:t>
            </w:r>
          </w:p>
        </w:tc>
        <w:tc>
          <w:tcPr>
            <w:tcW w:w="850" w:type="dxa"/>
            <w:tcBorders>
              <w:top w:val="nil"/>
              <w:left w:val="nil"/>
              <w:bottom w:val="single" w:sz="8" w:space="0" w:color="auto"/>
              <w:right w:val="single" w:sz="8" w:space="0" w:color="auto"/>
            </w:tcBorders>
            <w:shd w:val="clear" w:color="000000" w:fill="A6A6A6"/>
            <w:vAlign w:val="center"/>
            <w:hideMark/>
          </w:tcPr>
          <w:p w14:paraId="219019E1"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0C0622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B69E4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Tworzenie asortymentowo-wartościowych Kart Zakupów Inwestycyjnych przez MPK-i.</w:t>
            </w:r>
          </w:p>
        </w:tc>
        <w:tc>
          <w:tcPr>
            <w:tcW w:w="850" w:type="dxa"/>
            <w:tcBorders>
              <w:top w:val="nil"/>
              <w:left w:val="nil"/>
              <w:bottom w:val="single" w:sz="8" w:space="0" w:color="auto"/>
              <w:right w:val="single" w:sz="8" w:space="0" w:color="auto"/>
            </w:tcBorders>
            <w:shd w:val="clear" w:color="auto" w:fill="auto"/>
            <w:vAlign w:val="center"/>
            <w:hideMark/>
          </w:tcPr>
          <w:p w14:paraId="66E1D5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38B042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817B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tworzenia asortymentowo-wartościowych Kart Zakupów Inwestycyjnych dla wszystkich MPK-ów w podziale na kierowników obszarów zakupowych.</w:t>
            </w:r>
          </w:p>
        </w:tc>
        <w:tc>
          <w:tcPr>
            <w:tcW w:w="850" w:type="dxa"/>
            <w:tcBorders>
              <w:top w:val="nil"/>
              <w:left w:val="nil"/>
              <w:bottom w:val="single" w:sz="8" w:space="0" w:color="auto"/>
              <w:right w:val="single" w:sz="8" w:space="0" w:color="auto"/>
            </w:tcBorders>
            <w:shd w:val="clear" w:color="auto" w:fill="auto"/>
            <w:vAlign w:val="center"/>
            <w:hideMark/>
          </w:tcPr>
          <w:p w14:paraId="556DE22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C6F45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2B5F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Powiązanie KZI z planowanymi budżetami komórek organizacyjnych.</w:t>
            </w:r>
          </w:p>
        </w:tc>
        <w:tc>
          <w:tcPr>
            <w:tcW w:w="850" w:type="dxa"/>
            <w:tcBorders>
              <w:top w:val="nil"/>
              <w:left w:val="nil"/>
              <w:bottom w:val="single" w:sz="8" w:space="0" w:color="auto"/>
              <w:right w:val="single" w:sz="8" w:space="0" w:color="auto"/>
            </w:tcBorders>
            <w:shd w:val="clear" w:color="auto" w:fill="auto"/>
            <w:vAlign w:val="center"/>
            <w:hideMark/>
          </w:tcPr>
          <w:p w14:paraId="160068F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C297E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99759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Bieżąca kontrola asortymentowo-wartościowa KZI na podstawie faktur zakupu.</w:t>
            </w:r>
          </w:p>
        </w:tc>
        <w:tc>
          <w:tcPr>
            <w:tcW w:w="850" w:type="dxa"/>
            <w:tcBorders>
              <w:top w:val="nil"/>
              <w:left w:val="nil"/>
              <w:bottom w:val="single" w:sz="8" w:space="0" w:color="auto"/>
              <w:right w:val="single" w:sz="8" w:space="0" w:color="auto"/>
            </w:tcBorders>
            <w:shd w:val="clear" w:color="auto" w:fill="auto"/>
            <w:vAlign w:val="center"/>
            <w:hideMark/>
          </w:tcPr>
          <w:p w14:paraId="614017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0565F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4A95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korekty zatwierdzonych kart KZI przez kierowników obszarów zakupowych w zakresie asortymentu z jednoczesną blokadą przekroczenia zatwierdzonej wartości. Integracja z bazą Lotus Notes z rejestru wniosku na umowie, protokole i aktualizacja danych na fakturze zakupu.</w:t>
            </w:r>
          </w:p>
        </w:tc>
        <w:tc>
          <w:tcPr>
            <w:tcW w:w="850" w:type="dxa"/>
            <w:tcBorders>
              <w:top w:val="nil"/>
              <w:left w:val="nil"/>
              <w:bottom w:val="single" w:sz="8" w:space="0" w:color="auto"/>
              <w:right w:val="single" w:sz="8" w:space="0" w:color="auto"/>
            </w:tcBorders>
            <w:shd w:val="clear" w:color="auto" w:fill="auto"/>
            <w:vAlign w:val="center"/>
            <w:hideMark/>
          </w:tcPr>
          <w:p w14:paraId="7E4B5B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ED5F2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25212C"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IX. OBSZAR REALIZACJI ZAKUPÓW</w:t>
            </w:r>
          </w:p>
        </w:tc>
        <w:tc>
          <w:tcPr>
            <w:tcW w:w="850" w:type="dxa"/>
            <w:tcBorders>
              <w:top w:val="nil"/>
              <w:left w:val="nil"/>
              <w:bottom w:val="single" w:sz="8" w:space="0" w:color="auto"/>
              <w:right w:val="single" w:sz="8" w:space="0" w:color="auto"/>
            </w:tcBorders>
            <w:shd w:val="clear" w:color="000000" w:fill="A6A6A6"/>
            <w:vAlign w:val="center"/>
            <w:hideMark/>
          </w:tcPr>
          <w:p w14:paraId="39768587"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4DA96C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67AC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Rejestracja zapotrzebowań prowadzona w komórkach organizacyjnych z cyklem życia  (wprowadzenie, akceptacja, zatwierdzenie, realizacja, anulowanie) określonym uprawnieniami.</w:t>
            </w:r>
          </w:p>
        </w:tc>
        <w:tc>
          <w:tcPr>
            <w:tcW w:w="850" w:type="dxa"/>
            <w:tcBorders>
              <w:top w:val="nil"/>
              <w:left w:val="nil"/>
              <w:bottom w:val="single" w:sz="8" w:space="0" w:color="auto"/>
              <w:right w:val="single" w:sz="8" w:space="0" w:color="auto"/>
            </w:tcBorders>
            <w:shd w:val="clear" w:color="auto" w:fill="auto"/>
            <w:vAlign w:val="center"/>
            <w:hideMark/>
          </w:tcPr>
          <w:p w14:paraId="1F4E2B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E80D6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D6B30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zdefiniowania wielu numeratorów (dla każdego działu osobny).</w:t>
            </w:r>
          </w:p>
        </w:tc>
        <w:tc>
          <w:tcPr>
            <w:tcW w:w="850" w:type="dxa"/>
            <w:tcBorders>
              <w:top w:val="nil"/>
              <w:left w:val="nil"/>
              <w:bottom w:val="single" w:sz="8" w:space="0" w:color="auto"/>
              <w:right w:val="single" w:sz="8" w:space="0" w:color="auto"/>
            </w:tcBorders>
            <w:shd w:val="clear" w:color="auto" w:fill="auto"/>
            <w:vAlign w:val="center"/>
            <w:hideMark/>
          </w:tcPr>
          <w:p w14:paraId="679DB9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77613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577BD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określenia MPK zamawiającego (automatyczne uzupełnienie z możliwością ręcznej zmiany) z wykorzystaniem słownika.</w:t>
            </w:r>
          </w:p>
        </w:tc>
        <w:tc>
          <w:tcPr>
            <w:tcW w:w="850" w:type="dxa"/>
            <w:tcBorders>
              <w:top w:val="nil"/>
              <w:left w:val="nil"/>
              <w:bottom w:val="single" w:sz="8" w:space="0" w:color="auto"/>
              <w:right w:val="single" w:sz="8" w:space="0" w:color="auto"/>
            </w:tcBorders>
            <w:shd w:val="clear" w:color="auto" w:fill="auto"/>
            <w:vAlign w:val="center"/>
            <w:hideMark/>
          </w:tcPr>
          <w:p w14:paraId="5C37BD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BFB143"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DA4F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określenia MPK odbierającego (automatyczna podpowiedź z możliwością zmiany w przypadku zakupu na potrzeby innego Działu z wykorzystaniem słownika.</w:t>
            </w:r>
          </w:p>
        </w:tc>
        <w:tc>
          <w:tcPr>
            <w:tcW w:w="850" w:type="dxa"/>
            <w:tcBorders>
              <w:top w:val="nil"/>
              <w:left w:val="nil"/>
              <w:bottom w:val="single" w:sz="8" w:space="0" w:color="auto"/>
              <w:right w:val="single" w:sz="8" w:space="0" w:color="auto"/>
            </w:tcBorders>
            <w:shd w:val="clear" w:color="auto" w:fill="auto"/>
            <w:vAlign w:val="center"/>
            <w:hideMark/>
          </w:tcPr>
          <w:p w14:paraId="413B1C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391C1C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001B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Oznaczanie, czy zapotrzebowanie jest realizowane zgodnie z planu zakupu czy też poza planem zakupu.</w:t>
            </w:r>
          </w:p>
        </w:tc>
        <w:tc>
          <w:tcPr>
            <w:tcW w:w="850" w:type="dxa"/>
            <w:tcBorders>
              <w:top w:val="nil"/>
              <w:left w:val="nil"/>
              <w:bottom w:val="single" w:sz="8" w:space="0" w:color="auto"/>
              <w:right w:val="single" w:sz="8" w:space="0" w:color="auto"/>
            </w:tcBorders>
            <w:shd w:val="clear" w:color="auto" w:fill="auto"/>
            <w:vAlign w:val="center"/>
            <w:hideMark/>
          </w:tcPr>
          <w:p w14:paraId="6B27090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93A0A9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C4F6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Automatyczne przypisanie zapotrzebowania do aktywnego planu zakupu.</w:t>
            </w:r>
          </w:p>
        </w:tc>
        <w:tc>
          <w:tcPr>
            <w:tcW w:w="850" w:type="dxa"/>
            <w:tcBorders>
              <w:top w:val="nil"/>
              <w:left w:val="nil"/>
              <w:bottom w:val="single" w:sz="8" w:space="0" w:color="auto"/>
              <w:right w:val="single" w:sz="8" w:space="0" w:color="auto"/>
            </w:tcBorders>
            <w:shd w:val="clear" w:color="auto" w:fill="auto"/>
            <w:vAlign w:val="center"/>
            <w:hideMark/>
          </w:tcPr>
          <w:p w14:paraId="3436E6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D9D1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B569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Kontrola zgodności ilości na zapotrzebowaniu z planem zakupu. Automatyczna blokada przekroczenia planowanych ilości.</w:t>
            </w:r>
          </w:p>
        </w:tc>
        <w:tc>
          <w:tcPr>
            <w:tcW w:w="850" w:type="dxa"/>
            <w:tcBorders>
              <w:top w:val="nil"/>
              <w:left w:val="nil"/>
              <w:bottom w:val="single" w:sz="8" w:space="0" w:color="auto"/>
              <w:right w:val="single" w:sz="8" w:space="0" w:color="auto"/>
            </w:tcBorders>
            <w:shd w:val="clear" w:color="auto" w:fill="auto"/>
            <w:vAlign w:val="center"/>
            <w:hideMark/>
          </w:tcPr>
          <w:p w14:paraId="049186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396308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33D11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Wybór pozycji do zapotrzebowania:</w:t>
            </w:r>
          </w:p>
        </w:tc>
        <w:tc>
          <w:tcPr>
            <w:tcW w:w="850" w:type="dxa"/>
            <w:tcBorders>
              <w:top w:val="nil"/>
              <w:left w:val="nil"/>
              <w:bottom w:val="single" w:sz="8" w:space="0" w:color="auto"/>
              <w:right w:val="single" w:sz="8" w:space="0" w:color="auto"/>
            </w:tcBorders>
            <w:shd w:val="clear" w:color="000000" w:fill="A6A6A6"/>
            <w:vAlign w:val="center"/>
            <w:hideMark/>
          </w:tcPr>
          <w:p w14:paraId="46E96A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BA3A31B"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D00FD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8.1. Możliwość określenia „kierunku ruchu” dostawy (usługi, materiału, inwestycji) do każdej pozycji zapotrzebowania niezależnie z automatycznym utworzeniem rezerwacji materiału na konkretny projekt lub brakiem rezerwacji w przypadku pominięcia projektu.</w:t>
            </w:r>
          </w:p>
        </w:tc>
        <w:tc>
          <w:tcPr>
            <w:tcW w:w="850" w:type="dxa"/>
            <w:tcBorders>
              <w:top w:val="nil"/>
              <w:left w:val="nil"/>
              <w:bottom w:val="single" w:sz="8" w:space="0" w:color="auto"/>
              <w:right w:val="single" w:sz="8" w:space="0" w:color="auto"/>
            </w:tcBorders>
            <w:shd w:val="clear" w:color="auto" w:fill="auto"/>
            <w:vAlign w:val="center"/>
            <w:hideMark/>
          </w:tcPr>
          <w:p w14:paraId="4FFCAD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A4B65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B507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 W przypadku zakupów materiałowych:</w:t>
            </w:r>
          </w:p>
        </w:tc>
        <w:tc>
          <w:tcPr>
            <w:tcW w:w="850" w:type="dxa"/>
            <w:tcBorders>
              <w:top w:val="nil"/>
              <w:left w:val="nil"/>
              <w:bottom w:val="single" w:sz="8" w:space="0" w:color="auto"/>
              <w:right w:val="single" w:sz="8" w:space="0" w:color="auto"/>
            </w:tcBorders>
            <w:shd w:val="clear" w:color="000000" w:fill="A6A6A6"/>
            <w:vAlign w:val="center"/>
            <w:hideMark/>
          </w:tcPr>
          <w:p w14:paraId="1EE5A2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E0CE65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F5310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8.2.1. Możliwość wyboru indeksu materiałowego z kartoteki (a w przypadku zakupów zgodnych z planem wyłącznie indeksów zaplanowanych przez daną komórkę organizacyjną),</w:t>
            </w:r>
          </w:p>
        </w:tc>
        <w:tc>
          <w:tcPr>
            <w:tcW w:w="850" w:type="dxa"/>
            <w:tcBorders>
              <w:top w:val="nil"/>
              <w:left w:val="nil"/>
              <w:bottom w:val="single" w:sz="8" w:space="0" w:color="auto"/>
              <w:right w:val="single" w:sz="8" w:space="0" w:color="auto"/>
            </w:tcBorders>
            <w:shd w:val="clear" w:color="auto" w:fill="auto"/>
            <w:vAlign w:val="center"/>
            <w:hideMark/>
          </w:tcPr>
          <w:p w14:paraId="1867B8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F68047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EDC8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8.2.2. Podpowiedź jednostki miary (zgodnie z wybranym indeksem),</w:t>
            </w:r>
          </w:p>
        </w:tc>
        <w:tc>
          <w:tcPr>
            <w:tcW w:w="850" w:type="dxa"/>
            <w:tcBorders>
              <w:top w:val="nil"/>
              <w:left w:val="nil"/>
              <w:bottom w:val="single" w:sz="8" w:space="0" w:color="auto"/>
              <w:right w:val="single" w:sz="8" w:space="0" w:color="auto"/>
            </w:tcBorders>
            <w:shd w:val="clear" w:color="auto" w:fill="auto"/>
            <w:vAlign w:val="center"/>
            <w:hideMark/>
          </w:tcPr>
          <w:p w14:paraId="502F3D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BF21E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7F3E3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8.2.3. W przypadku zakupów zgodnie z planem możliwość podania ilości żądanej nie większej niż ujęta w planie zakupów danego działu,</w:t>
            </w:r>
          </w:p>
        </w:tc>
        <w:tc>
          <w:tcPr>
            <w:tcW w:w="850" w:type="dxa"/>
            <w:tcBorders>
              <w:top w:val="nil"/>
              <w:left w:val="nil"/>
              <w:bottom w:val="single" w:sz="8" w:space="0" w:color="auto"/>
              <w:right w:val="single" w:sz="8" w:space="0" w:color="auto"/>
            </w:tcBorders>
            <w:shd w:val="clear" w:color="auto" w:fill="auto"/>
            <w:vAlign w:val="center"/>
            <w:hideMark/>
          </w:tcPr>
          <w:p w14:paraId="7083862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4DEDC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852F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8.2.4. Podpowiedź ilości aktualnie osiągalnej w magazynie (w przypadku kiedy ilość żądana jest mniejsza bądź równa dostępnemu stanowi magazynowemu, następuje automatyczna rezerwacja żądanej ilości na wskazaną komórkę i zmiana statusu zapotrzebowania bądź wybranej pozycji na „zrealizowane”),</w:t>
            </w:r>
          </w:p>
        </w:tc>
        <w:tc>
          <w:tcPr>
            <w:tcW w:w="850" w:type="dxa"/>
            <w:tcBorders>
              <w:top w:val="nil"/>
              <w:left w:val="nil"/>
              <w:bottom w:val="single" w:sz="8" w:space="0" w:color="auto"/>
              <w:right w:val="single" w:sz="8" w:space="0" w:color="auto"/>
            </w:tcBorders>
            <w:shd w:val="clear" w:color="auto" w:fill="auto"/>
            <w:vAlign w:val="center"/>
            <w:hideMark/>
          </w:tcPr>
          <w:p w14:paraId="7386C55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8CB9DE3"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A6D9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8.2.5. Skrócony podgląd realizacji planu dla pozycji w zapotrzebowaniu obejmujący: plan roboczy (ilość – wartość), wartość PZ (ilość – wartość), zamówienia w tracie (ilość-wartość), ilość pozostała do realizacji (ilość – wartość),</w:t>
            </w:r>
          </w:p>
        </w:tc>
        <w:tc>
          <w:tcPr>
            <w:tcW w:w="850" w:type="dxa"/>
            <w:tcBorders>
              <w:top w:val="nil"/>
              <w:left w:val="nil"/>
              <w:bottom w:val="single" w:sz="8" w:space="0" w:color="auto"/>
              <w:right w:val="single" w:sz="8" w:space="0" w:color="auto"/>
            </w:tcBorders>
            <w:shd w:val="clear" w:color="auto" w:fill="auto"/>
            <w:vAlign w:val="center"/>
            <w:hideMark/>
          </w:tcPr>
          <w:p w14:paraId="780091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088312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74E8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8.3. Automatyczna informacja przy pozycji zapotrzebowania o powiązaniu z obowiązującą umową (symbol/znacznik) wraz z automatycznym uzupełnieniem ceny,</w:t>
            </w:r>
          </w:p>
        </w:tc>
        <w:tc>
          <w:tcPr>
            <w:tcW w:w="850" w:type="dxa"/>
            <w:tcBorders>
              <w:top w:val="nil"/>
              <w:left w:val="nil"/>
              <w:bottom w:val="single" w:sz="8" w:space="0" w:color="auto"/>
              <w:right w:val="single" w:sz="8" w:space="0" w:color="auto"/>
            </w:tcBorders>
            <w:shd w:val="clear" w:color="auto" w:fill="auto"/>
            <w:vAlign w:val="center"/>
            <w:hideMark/>
          </w:tcPr>
          <w:p w14:paraId="0E0E2A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A8148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D253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8.4. Możliwość dołączenia załącznika (forma linku, oferty w formacie PDF, zdjęcia), widoczną (pogrubieniem, kolorem, ikoną) dla wystawiającego zapotrzebowanie.</w:t>
            </w:r>
          </w:p>
        </w:tc>
        <w:tc>
          <w:tcPr>
            <w:tcW w:w="850" w:type="dxa"/>
            <w:tcBorders>
              <w:top w:val="nil"/>
              <w:left w:val="nil"/>
              <w:bottom w:val="single" w:sz="8" w:space="0" w:color="auto"/>
              <w:right w:val="single" w:sz="8" w:space="0" w:color="auto"/>
            </w:tcBorders>
            <w:shd w:val="clear" w:color="auto" w:fill="auto"/>
            <w:vAlign w:val="center"/>
            <w:hideMark/>
          </w:tcPr>
          <w:p w14:paraId="06E4AC0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36034D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2881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Automatyczne generowanie zapotrzebowań:</w:t>
            </w:r>
          </w:p>
        </w:tc>
        <w:tc>
          <w:tcPr>
            <w:tcW w:w="850" w:type="dxa"/>
            <w:tcBorders>
              <w:top w:val="nil"/>
              <w:left w:val="nil"/>
              <w:bottom w:val="single" w:sz="8" w:space="0" w:color="auto"/>
              <w:right w:val="single" w:sz="8" w:space="0" w:color="auto"/>
            </w:tcBorders>
            <w:shd w:val="clear" w:color="000000" w:fill="A6A6A6"/>
            <w:vAlign w:val="center"/>
            <w:hideMark/>
          </w:tcPr>
          <w:p w14:paraId="2102616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CE6635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D7F65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9.1. Na potrzeby uzupełnienia stanów magazynowych w oparciu o określone alerty stanów minimalnych i maksymalnych wraz z kontrolą ilości PZM dla poszczególnych MPK-ów. Po przekroczeniu ilości z PZM generowanie zapotrzebowań poza planem,</w:t>
            </w:r>
          </w:p>
        </w:tc>
        <w:tc>
          <w:tcPr>
            <w:tcW w:w="850" w:type="dxa"/>
            <w:tcBorders>
              <w:top w:val="nil"/>
              <w:left w:val="nil"/>
              <w:bottom w:val="single" w:sz="8" w:space="0" w:color="auto"/>
              <w:right w:val="single" w:sz="8" w:space="0" w:color="auto"/>
            </w:tcBorders>
            <w:shd w:val="clear" w:color="auto" w:fill="auto"/>
            <w:vAlign w:val="center"/>
            <w:hideMark/>
          </w:tcPr>
          <w:p w14:paraId="141175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0668C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7DAA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9.2. Zbiorczych na różne MPK-i na podstawie harmonogramów wymiany odzieży roboczej i wyposażenia z wyłączeniem ekwiwalentów.</w:t>
            </w:r>
          </w:p>
        </w:tc>
        <w:tc>
          <w:tcPr>
            <w:tcW w:w="850" w:type="dxa"/>
            <w:tcBorders>
              <w:top w:val="nil"/>
              <w:left w:val="nil"/>
              <w:bottom w:val="single" w:sz="8" w:space="0" w:color="auto"/>
              <w:right w:val="single" w:sz="8" w:space="0" w:color="auto"/>
            </w:tcBorders>
            <w:shd w:val="clear" w:color="auto" w:fill="auto"/>
            <w:vAlign w:val="center"/>
            <w:hideMark/>
          </w:tcPr>
          <w:p w14:paraId="48FCAC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F3F5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26D78B"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X. KADRY</w:t>
            </w:r>
          </w:p>
        </w:tc>
        <w:tc>
          <w:tcPr>
            <w:tcW w:w="850" w:type="dxa"/>
            <w:tcBorders>
              <w:top w:val="nil"/>
              <w:left w:val="nil"/>
              <w:bottom w:val="single" w:sz="8" w:space="0" w:color="auto"/>
              <w:right w:val="single" w:sz="8" w:space="0" w:color="auto"/>
            </w:tcBorders>
            <w:shd w:val="clear" w:color="000000" w:fill="A6A6A6"/>
            <w:vAlign w:val="center"/>
            <w:hideMark/>
          </w:tcPr>
          <w:p w14:paraId="0227B914"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FAD312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2305D20"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Moduł Kadry</w:t>
            </w:r>
          </w:p>
        </w:tc>
        <w:tc>
          <w:tcPr>
            <w:tcW w:w="850" w:type="dxa"/>
            <w:tcBorders>
              <w:top w:val="nil"/>
              <w:left w:val="nil"/>
              <w:bottom w:val="single" w:sz="8" w:space="0" w:color="auto"/>
              <w:right w:val="single" w:sz="8" w:space="0" w:color="auto"/>
            </w:tcBorders>
            <w:shd w:val="clear" w:color="000000" w:fill="A6A6A6"/>
            <w:vAlign w:val="center"/>
            <w:hideMark/>
          </w:tcPr>
          <w:p w14:paraId="247175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1EDED6F"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2242C75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Ewidencja pracowników, kartoteka osobowa (struktura organizacyjna pion/dział/oddział/przełożony):</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76E6DE6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DF4421A" w14:textId="77777777" w:rsidTr="00B97E7A">
        <w:trPr>
          <w:trHeight w:val="4260"/>
        </w:trPr>
        <w:tc>
          <w:tcPr>
            <w:tcW w:w="9215" w:type="dxa"/>
            <w:tcBorders>
              <w:top w:val="nil"/>
              <w:left w:val="single" w:sz="8" w:space="0" w:color="auto"/>
              <w:bottom w:val="nil"/>
              <w:right w:val="single" w:sz="8" w:space="0" w:color="auto"/>
            </w:tcBorders>
            <w:shd w:val="clear" w:color="auto" w:fill="auto"/>
            <w:vAlign w:val="center"/>
            <w:hideMark/>
          </w:tcPr>
          <w:p w14:paraId="6FBA65C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imię, nazwisko - kariera: nr akt, data przyjęcia, termin umowy, rodzaj umowy. stanowisko, etat, stawka wynagrodzenia, premia (rodzaj premii i wysokość w %), kategoria zaszeregowania (wybierana ze słownika z rozbiciem na obligatoryjną kategorię główną np. VII i opcjonalny poziom np. A), klasyfikacja zawodu, grupa zatrudnienia (U,F), kalendarz, staż u pracodawcy i ogólny, kod ubezpieczenia, kod pracy w warunkach szczególnych i stanowisko (do 2008r. oraz aktualne), PPK (do wglądu), możliwość korygowania daty zatrudnienia, wydruk umów na okres próbny, określony, nieokreślony, angaże, przeszeregowania, kwoty bazowej, zaświadczenia o zatrudnieniu (szablony druków), możliwość podglądu na wszystkie umowy (biorąc pod uwagę przerwy w zatrudnieniu), generowanie informacji o warunkach zatrudnienia, praca zmianowa,</w:t>
            </w:r>
          </w:p>
        </w:tc>
        <w:tc>
          <w:tcPr>
            <w:tcW w:w="850" w:type="dxa"/>
            <w:vMerge/>
            <w:tcBorders>
              <w:top w:val="nil"/>
              <w:left w:val="single" w:sz="8" w:space="0" w:color="auto"/>
              <w:bottom w:val="single" w:sz="8" w:space="0" w:color="000000"/>
              <w:right w:val="single" w:sz="8" w:space="0" w:color="auto"/>
            </w:tcBorders>
            <w:vAlign w:val="center"/>
            <w:hideMark/>
          </w:tcPr>
          <w:p w14:paraId="5CE08FAA"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2952586D"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0E98B50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historia zatrudnienia: nazwa pracodawcy, adres pracodawcy, termin zatrudnienia, stanowisko, przyczyna zwolnienia,</w:t>
            </w:r>
          </w:p>
        </w:tc>
        <w:tc>
          <w:tcPr>
            <w:tcW w:w="850" w:type="dxa"/>
            <w:vMerge/>
            <w:tcBorders>
              <w:top w:val="nil"/>
              <w:left w:val="single" w:sz="8" w:space="0" w:color="auto"/>
              <w:bottom w:val="single" w:sz="8" w:space="0" w:color="000000"/>
              <w:right w:val="single" w:sz="8" w:space="0" w:color="auto"/>
            </w:tcBorders>
            <w:vAlign w:val="center"/>
            <w:hideMark/>
          </w:tcPr>
          <w:p w14:paraId="13651E91"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62AA33EB" w14:textId="77777777" w:rsidTr="00B97E7A">
        <w:trPr>
          <w:trHeight w:val="1875"/>
        </w:trPr>
        <w:tc>
          <w:tcPr>
            <w:tcW w:w="9215" w:type="dxa"/>
            <w:tcBorders>
              <w:top w:val="nil"/>
              <w:left w:val="single" w:sz="8" w:space="0" w:color="auto"/>
              <w:bottom w:val="nil"/>
              <w:right w:val="single" w:sz="8" w:space="0" w:color="auto"/>
            </w:tcBorders>
            <w:shd w:val="clear" w:color="auto" w:fill="auto"/>
            <w:vAlign w:val="center"/>
            <w:hideMark/>
          </w:tcPr>
          <w:p w14:paraId="571706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dane osobowe: data urodzenia, PESEL, płeć, stan cywilny, obywatelsko, kod ubezpieczenia (E,R, niepełnoprawność, NFZ), dodatkowy wymiar urlopu (niepełnosprawność, weteran wojenny, osoby represjonowane w PRL) - daty i możliwość dokonania zmian identyfikacyjnych pracownika np. zmiana nazwiska, stanu cywilnego,</w:t>
            </w:r>
          </w:p>
        </w:tc>
        <w:tc>
          <w:tcPr>
            <w:tcW w:w="850" w:type="dxa"/>
            <w:vMerge/>
            <w:tcBorders>
              <w:top w:val="nil"/>
              <w:left w:val="single" w:sz="8" w:space="0" w:color="auto"/>
              <w:bottom w:val="single" w:sz="8" w:space="0" w:color="000000"/>
              <w:right w:val="single" w:sz="8" w:space="0" w:color="auto"/>
            </w:tcBorders>
            <w:vAlign w:val="center"/>
            <w:hideMark/>
          </w:tcPr>
          <w:p w14:paraId="295FFE44"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4D1EB8DC" w14:textId="77777777" w:rsidTr="00B97E7A">
        <w:trPr>
          <w:trHeight w:val="2625"/>
        </w:trPr>
        <w:tc>
          <w:tcPr>
            <w:tcW w:w="9215" w:type="dxa"/>
            <w:tcBorders>
              <w:top w:val="nil"/>
              <w:left w:val="single" w:sz="8" w:space="0" w:color="auto"/>
              <w:bottom w:val="nil"/>
              <w:right w:val="single" w:sz="8" w:space="0" w:color="auto"/>
            </w:tcBorders>
            <w:shd w:val="clear" w:color="auto" w:fill="auto"/>
            <w:vAlign w:val="center"/>
            <w:hideMark/>
          </w:tcPr>
          <w:p w14:paraId="3696A7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wymiar urlopu: urlop wypoczynkowy (bieżący wymiar, zaległy, na żądanie), urlop dodatkowy (10, 5 dni), rodzicielski, macierzyński, ojcowski, opiekuńczy (bezpłatny), szkolny, wychowawczy, bezpłatny (zwykły pracownik znika ze stanu, żołnierz-liczy się staż), okolicznościowy, urlop z poprzedniej pracy, urlop na poszukiwanie pracy, plan urlopów (elektronicznie, z weryfikacją wprowadzenia przynajmniej jednego urlopu obejmującego 14 kolejnych dni), notatnik i możliwość modyfikacji, (powiadomienie o przekroczeniu),</w:t>
            </w:r>
          </w:p>
        </w:tc>
        <w:tc>
          <w:tcPr>
            <w:tcW w:w="850" w:type="dxa"/>
            <w:vMerge/>
            <w:tcBorders>
              <w:top w:val="nil"/>
              <w:left w:val="single" w:sz="8" w:space="0" w:color="auto"/>
              <w:bottom w:val="single" w:sz="8" w:space="0" w:color="000000"/>
              <w:right w:val="single" w:sz="8" w:space="0" w:color="auto"/>
            </w:tcBorders>
            <w:vAlign w:val="center"/>
            <w:hideMark/>
          </w:tcPr>
          <w:p w14:paraId="4CA766C7"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23261AD2" w14:textId="77777777" w:rsidTr="00B97E7A">
        <w:trPr>
          <w:trHeight w:val="4500"/>
        </w:trPr>
        <w:tc>
          <w:tcPr>
            <w:tcW w:w="9215" w:type="dxa"/>
            <w:tcBorders>
              <w:top w:val="nil"/>
              <w:left w:val="single" w:sz="8" w:space="0" w:color="auto"/>
              <w:bottom w:val="nil"/>
              <w:right w:val="single" w:sz="8" w:space="0" w:color="auto"/>
            </w:tcBorders>
            <w:shd w:val="clear" w:color="auto" w:fill="auto"/>
            <w:vAlign w:val="center"/>
            <w:hideMark/>
          </w:tcPr>
          <w:p w14:paraId="2EA69E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nieobecności: chorobowe, chorobowe bez zwolnienia lekarskiego, opieka nad dzieckiem (60 dni), opieka nad członkiem rodziny (14 dni), opieka nad dzieckiem do lat 14, dodatkowa opieka do lat 8, wolne „siły wyższe”(D,G), szkolenie BHP, krwiodawstwo, zwolnienie ze świadczenia pracy, areszt, nieobecność usprawiedliwiona płatna (D,G), nieobecność usprawiedliwiona niepłatna, nieobecność nieusprawiedliwiona niepłatna, delegacja służbowa, szkolenia-seminaria, zasiłek rehabilitacyjny, wyjście prywatne, wyjście służbowe, godzina płatna dla matek karmiący (2x0,5h), zwolnienie lekarskie niepłatne, chorobowe bez zwolnienia lekarskiego, wolne za pracę w dni harmonogramowe x 1, wolne za pracę w dni harmonogramowe x1,5, wolne za pracę w niedziele i święta, wolne za pracę w sobotę, praca zdalna, okres nieobecności po służbie wojskowej, służba wojskowa (możliwość dopisania np. kwarantanny, izolacji),</w:t>
            </w:r>
          </w:p>
        </w:tc>
        <w:tc>
          <w:tcPr>
            <w:tcW w:w="850" w:type="dxa"/>
            <w:vMerge/>
            <w:tcBorders>
              <w:top w:val="nil"/>
              <w:left w:val="single" w:sz="8" w:space="0" w:color="auto"/>
              <w:bottom w:val="single" w:sz="8" w:space="0" w:color="000000"/>
              <w:right w:val="single" w:sz="8" w:space="0" w:color="auto"/>
            </w:tcBorders>
            <w:vAlign w:val="center"/>
            <w:hideMark/>
          </w:tcPr>
          <w:p w14:paraId="4910C36D"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4A5812F1" w14:textId="77777777" w:rsidTr="00B97E7A">
        <w:trPr>
          <w:trHeight w:val="720"/>
        </w:trPr>
        <w:tc>
          <w:tcPr>
            <w:tcW w:w="9215" w:type="dxa"/>
            <w:tcBorders>
              <w:top w:val="nil"/>
              <w:left w:val="single" w:sz="8" w:space="0" w:color="auto"/>
              <w:bottom w:val="nil"/>
              <w:right w:val="single" w:sz="8" w:space="0" w:color="auto"/>
            </w:tcBorders>
            <w:shd w:val="clear" w:color="auto" w:fill="auto"/>
            <w:vAlign w:val="center"/>
            <w:hideMark/>
          </w:tcPr>
          <w:p w14:paraId="07DFA53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adres: zamieszkania, zameldowania, korespondencyjny,</w:t>
            </w:r>
          </w:p>
        </w:tc>
        <w:tc>
          <w:tcPr>
            <w:tcW w:w="850" w:type="dxa"/>
            <w:vMerge/>
            <w:tcBorders>
              <w:top w:val="nil"/>
              <w:left w:val="single" w:sz="8" w:space="0" w:color="auto"/>
              <w:bottom w:val="single" w:sz="8" w:space="0" w:color="000000"/>
              <w:right w:val="single" w:sz="8" w:space="0" w:color="auto"/>
            </w:tcBorders>
            <w:vAlign w:val="center"/>
            <w:hideMark/>
          </w:tcPr>
          <w:p w14:paraId="29D0CD13"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5E00D332"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2FDB74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przypisania Urzędu Skarbowego poprzez wybór ze słownika (z zachowaniem historii),</w:t>
            </w:r>
          </w:p>
        </w:tc>
        <w:tc>
          <w:tcPr>
            <w:tcW w:w="850" w:type="dxa"/>
            <w:vMerge/>
            <w:tcBorders>
              <w:top w:val="nil"/>
              <w:left w:val="single" w:sz="8" w:space="0" w:color="auto"/>
              <w:bottom w:val="single" w:sz="8" w:space="0" w:color="000000"/>
              <w:right w:val="single" w:sz="8" w:space="0" w:color="auto"/>
            </w:tcBorders>
            <w:vAlign w:val="center"/>
            <w:hideMark/>
          </w:tcPr>
          <w:p w14:paraId="1111413F"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0FDB3AAE" w14:textId="77777777" w:rsidTr="00B97E7A">
        <w:trPr>
          <w:trHeight w:val="1125"/>
        </w:trPr>
        <w:tc>
          <w:tcPr>
            <w:tcW w:w="9215" w:type="dxa"/>
            <w:tcBorders>
              <w:top w:val="nil"/>
              <w:left w:val="single" w:sz="8" w:space="0" w:color="auto"/>
              <w:bottom w:val="nil"/>
              <w:right w:val="single" w:sz="8" w:space="0" w:color="auto"/>
            </w:tcBorders>
            <w:shd w:val="clear" w:color="auto" w:fill="auto"/>
            <w:vAlign w:val="center"/>
            <w:hideMark/>
          </w:tcPr>
          <w:p w14:paraId="60B2FF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dowód tożsamości: typ dokumentu, numer, okres obowiązywania, data ważności, wydany przez, pozwolenie na pracę w przypadku obcokrajowca (powiadomienia o terminie),</w:t>
            </w:r>
          </w:p>
        </w:tc>
        <w:tc>
          <w:tcPr>
            <w:tcW w:w="850" w:type="dxa"/>
            <w:vMerge/>
            <w:tcBorders>
              <w:top w:val="nil"/>
              <w:left w:val="single" w:sz="8" w:space="0" w:color="auto"/>
              <w:bottom w:val="single" w:sz="8" w:space="0" w:color="000000"/>
              <w:right w:val="single" w:sz="8" w:space="0" w:color="auto"/>
            </w:tcBorders>
            <w:vAlign w:val="center"/>
            <w:hideMark/>
          </w:tcPr>
          <w:p w14:paraId="4E0779DF"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759D1F16"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6866D0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szkolenia BHP: wstępne, stanowiskowe, okresowe, terminy, ważność (powiadomienia),</w:t>
            </w:r>
          </w:p>
        </w:tc>
        <w:tc>
          <w:tcPr>
            <w:tcW w:w="850" w:type="dxa"/>
            <w:vMerge/>
            <w:tcBorders>
              <w:top w:val="nil"/>
              <w:left w:val="single" w:sz="8" w:space="0" w:color="auto"/>
              <w:bottom w:val="single" w:sz="8" w:space="0" w:color="000000"/>
              <w:right w:val="single" w:sz="8" w:space="0" w:color="auto"/>
            </w:tcBorders>
            <w:vAlign w:val="center"/>
            <w:hideMark/>
          </w:tcPr>
          <w:p w14:paraId="4B5777D6"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6768CFF9"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27BE80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1.10. badania lekarskie: wstępne, okresowe, kontrolne, skierowania na badania (powiadomienia),</w:t>
            </w:r>
          </w:p>
        </w:tc>
        <w:tc>
          <w:tcPr>
            <w:tcW w:w="850" w:type="dxa"/>
            <w:vMerge/>
            <w:tcBorders>
              <w:top w:val="nil"/>
              <w:left w:val="single" w:sz="8" w:space="0" w:color="auto"/>
              <w:bottom w:val="single" w:sz="8" w:space="0" w:color="000000"/>
              <w:right w:val="single" w:sz="8" w:space="0" w:color="auto"/>
            </w:tcBorders>
            <w:vAlign w:val="center"/>
            <w:hideMark/>
          </w:tcPr>
          <w:p w14:paraId="525D7BF2"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18147C17" w14:textId="77777777" w:rsidTr="00B97E7A">
        <w:trPr>
          <w:trHeight w:val="1125"/>
        </w:trPr>
        <w:tc>
          <w:tcPr>
            <w:tcW w:w="9215" w:type="dxa"/>
            <w:tcBorders>
              <w:top w:val="nil"/>
              <w:left w:val="single" w:sz="8" w:space="0" w:color="auto"/>
              <w:bottom w:val="nil"/>
              <w:right w:val="single" w:sz="8" w:space="0" w:color="auto"/>
            </w:tcBorders>
            <w:shd w:val="clear" w:color="auto" w:fill="auto"/>
            <w:vAlign w:val="center"/>
            <w:hideMark/>
          </w:tcPr>
          <w:p w14:paraId="3AFF743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wykształcenie: poziom wykształcenia, nazwa szkoły/uczelni, kierunek, specjalność, zawód wyuczony, data ukończenia, naliczanie lat do urlopu wypoczynkowego (3,4,5,8),</w:t>
            </w:r>
          </w:p>
        </w:tc>
        <w:tc>
          <w:tcPr>
            <w:tcW w:w="850" w:type="dxa"/>
            <w:vMerge/>
            <w:tcBorders>
              <w:top w:val="nil"/>
              <w:left w:val="single" w:sz="8" w:space="0" w:color="auto"/>
              <w:bottom w:val="single" w:sz="8" w:space="0" w:color="000000"/>
              <w:right w:val="single" w:sz="8" w:space="0" w:color="auto"/>
            </w:tcBorders>
            <w:vAlign w:val="center"/>
            <w:hideMark/>
          </w:tcPr>
          <w:p w14:paraId="751A96B4"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327387A0"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64E94C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rodzina: (zgłoszenie do ZUS Płatnik, ZFŚS), imię, nazwisko, data urodzenia, PESEL, rodzaj pokrewieństwa,</w:t>
            </w:r>
          </w:p>
        </w:tc>
        <w:tc>
          <w:tcPr>
            <w:tcW w:w="850" w:type="dxa"/>
            <w:vMerge/>
            <w:tcBorders>
              <w:top w:val="nil"/>
              <w:left w:val="single" w:sz="8" w:space="0" w:color="auto"/>
              <w:bottom w:val="single" w:sz="8" w:space="0" w:color="000000"/>
              <w:right w:val="single" w:sz="8" w:space="0" w:color="auto"/>
            </w:tcBorders>
            <w:vAlign w:val="center"/>
            <w:hideMark/>
          </w:tcPr>
          <w:p w14:paraId="651D5C87"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0A398244" w14:textId="77777777" w:rsidTr="00B97E7A">
        <w:trPr>
          <w:trHeight w:val="720"/>
        </w:trPr>
        <w:tc>
          <w:tcPr>
            <w:tcW w:w="9215" w:type="dxa"/>
            <w:tcBorders>
              <w:top w:val="nil"/>
              <w:left w:val="single" w:sz="8" w:space="0" w:color="auto"/>
              <w:bottom w:val="nil"/>
              <w:right w:val="single" w:sz="8" w:space="0" w:color="auto"/>
            </w:tcBorders>
            <w:shd w:val="clear" w:color="auto" w:fill="auto"/>
            <w:vAlign w:val="center"/>
            <w:hideMark/>
          </w:tcPr>
          <w:p w14:paraId="1526E4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1.13. kary/nagany/upomnienia: data nadania, kod, nazwa, data wymazania z akt,</w:t>
            </w:r>
          </w:p>
        </w:tc>
        <w:tc>
          <w:tcPr>
            <w:tcW w:w="850" w:type="dxa"/>
            <w:vMerge/>
            <w:tcBorders>
              <w:top w:val="nil"/>
              <w:left w:val="single" w:sz="8" w:space="0" w:color="auto"/>
              <w:bottom w:val="single" w:sz="8" w:space="0" w:color="000000"/>
              <w:right w:val="single" w:sz="8" w:space="0" w:color="auto"/>
            </w:tcBorders>
            <w:vAlign w:val="center"/>
            <w:hideMark/>
          </w:tcPr>
          <w:p w14:paraId="100AD27B"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4487CC38"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472C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świadectwo pracy: termin rozwiązania umowy (możliwość korygowania), sposób rozwiązania umowy, kod rozwiązania umowy, wydruk świadectwa pracy wraz z świadectwem w warunkach szczególnych, wniosek o emeryturę (szablon),</w:t>
            </w:r>
          </w:p>
        </w:tc>
        <w:tc>
          <w:tcPr>
            <w:tcW w:w="850" w:type="dxa"/>
            <w:vMerge/>
            <w:tcBorders>
              <w:top w:val="nil"/>
              <w:left w:val="single" w:sz="8" w:space="0" w:color="auto"/>
              <w:bottom w:val="single" w:sz="8" w:space="0" w:color="000000"/>
              <w:right w:val="single" w:sz="8" w:space="0" w:color="auto"/>
            </w:tcBorders>
            <w:vAlign w:val="center"/>
            <w:hideMark/>
          </w:tcPr>
          <w:p w14:paraId="547FC3CF"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058655D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B2490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Generowanie sprawozdań do GUS, np. Z-05, Z06, Z-12, itp.</w:t>
            </w:r>
          </w:p>
        </w:tc>
        <w:tc>
          <w:tcPr>
            <w:tcW w:w="850" w:type="dxa"/>
            <w:tcBorders>
              <w:top w:val="nil"/>
              <w:left w:val="nil"/>
              <w:bottom w:val="single" w:sz="8" w:space="0" w:color="auto"/>
              <w:right w:val="single" w:sz="8" w:space="0" w:color="auto"/>
            </w:tcBorders>
            <w:shd w:val="clear" w:color="auto" w:fill="auto"/>
            <w:vAlign w:val="center"/>
            <w:hideMark/>
          </w:tcPr>
          <w:p w14:paraId="5AA84C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2C1CF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96F81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Współpraca z programem Płatnik (ZUA, ZWUA, ZIUA, ZCNA).</w:t>
            </w:r>
          </w:p>
        </w:tc>
        <w:tc>
          <w:tcPr>
            <w:tcW w:w="850" w:type="dxa"/>
            <w:tcBorders>
              <w:top w:val="nil"/>
              <w:left w:val="nil"/>
              <w:bottom w:val="single" w:sz="8" w:space="0" w:color="auto"/>
              <w:right w:val="single" w:sz="8" w:space="0" w:color="auto"/>
            </w:tcBorders>
            <w:shd w:val="clear" w:color="auto" w:fill="auto"/>
            <w:vAlign w:val="center"/>
            <w:hideMark/>
          </w:tcPr>
          <w:p w14:paraId="73B830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D3DE0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5F23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generowania wniosków emerytalnych i dokumentów związanych.</w:t>
            </w:r>
          </w:p>
        </w:tc>
        <w:tc>
          <w:tcPr>
            <w:tcW w:w="850" w:type="dxa"/>
            <w:tcBorders>
              <w:top w:val="nil"/>
              <w:left w:val="nil"/>
              <w:bottom w:val="single" w:sz="8" w:space="0" w:color="auto"/>
              <w:right w:val="single" w:sz="8" w:space="0" w:color="auto"/>
            </w:tcBorders>
            <w:shd w:val="clear" w:color="auto" w:fill="auto"/>
            <w:vAlign w:val="center"/>
            <w:hideMark/>
          </w:tcPr>
          <w:p w14:paraId="33E344D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3D285C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FA16D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Potrącenia – pożyczki, raty, komornicy, raportowanie.</w:t>
            </w:r>
          </w:p>
        </w:tc>
        <w:tc>
          <w:tcPr>
            <w:tcW w:w="850" w:type="dxa"/>
            <w:tcBorders>
              <w:top w:val="nil"/>
              <w:left w:val="nil"/>
              <w:bottom w:val="single" w:sz="8" w:space="0" w:color="auto"/>
              <w:right w:val="single" w:sz="8" w:space="0" w:color="auto"/>
            </w:tcBorders>
            <w:shd w:val="clear" w:color="auto" w:fill="auto"/>
            <w:vAlign w:val="center"/>
            <w:hideMark/>
          </w:tcPr>
          <w:p w14:paraId="774B6E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69048B9"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6280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Współpraca z zewnętrznym systemem RCP:</w:t>
            </w:r>
            <w:r w:rsidRPr="00B97E7A">
              <w:rPr>
                <w:rFonts w:ascii="Times New Roman" w:eastAsia="Times New Roman" w:hAnsi="Times New Roman" w:cs="Times New Roman"/>
                <w:kern w:val="0"/>
                <w:sz w:val="28"/>
                <w:szCs w:val="28"/>
                <w:lang w:eastAsia="pl-PL"/>
                <w14:ligatures w14:val="none"/>
              </w:rPr>
              <w:br/>
              <w:t>6.1. Możliwość importu danych (wejścia/wyjścia) do kart pracy z określeniem czasu i miejsca odbicia karty,</w:t>
            </w:r>
            <w:r w:rsidRPr="00B97E7A">
              <w:rPr>
                <w:rFonts w:ascii="Times New Roman" w:eastAsia="Times New Roman" w:hAnsi="Times New Roman" w:cs="Times New Roman"/>
                <w:kern w:val="0"/>
                <w:sz w:val="28"/>
                <w:szCs w:val="28"/>
                <w:lang w:eastAsia="pl-PL"/>
                <w14:ligatures w14:val="none"/>
              </w:rPr>
              <w:br/>
              <w:t>6.2. Możliwość modyfikacji zaimportowanego bądź ręcznego wprowadzania odczytu z określeniem czasu i miejsca wejście/wyjścia przez upoważnionych użytkowników,</w:t>
            </w:r>
            <w:r w:rsidRPr="00B97E7A">
              <w:rPr>
                <w:rFonts w:ascii="Times New Roman" w:eastAsia="Times New Roman" w:hAnsi="Times New Roman" w:cs="Times New Roman"/>
                <w:kern w:val="0"/>
                <w:sz w:val="28"/>
                <w:szCs w:val="28"/>
                <w:lang w:eastAsia="pl-PL"/>
                <w14:ligatures w14:val="none"/>
              </w:rPr>
              <w:br/>
              <w:t>6.3. Możliwość raportowania odczytów RCP wybranych pracowników.</w:t>
            </w:r>
          </w:p>
        </w:tc>
        <w:tc>
          <w:tcPr>
            <w:tcW w:w="850" w:type="dxa"/>
            <w:tcBorders>
              <w:top w:val="nil"/>
              <w:left w:val="nil"/>
              <w:bottom w:val="single" w:sz="8" w:space="0" w:color="auto"/>
              <w:right w:val="single" w:sz="8" w:space="0" w:color="auto"/>
            </w:tcBorders>
            <w:shd w:val="clear" w:color="auto" w:fill="auto"/>
            <w:vAlign w:val="center"/>
            <w:hideMark/>
          </w:tcPr>
          <w:p w14:paraId="03E0EA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81DB5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42CB7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Dokonywanie zmian w modułach – widoczny użytkownik, który dokonuje zmiany (dostępny notatnik, w którym można zapisać przyczynę zmiany).</w:t>
            </w:r>
          </w:p>
        </w:tc>
        <w:tc>
          <w:tcPr>
            <w:tcW w:w="850" w:type="dxa"/>
            <w:tcBorders>
              <w:top w:val="nil"/>
              <w:left w:val="nil"/>
              <w:bottom w:val="single" w:sz="8" w:space="0" w:color="auto"/>
              <w:right w:val="single" w:sz="8" w:space="0" w:color="auto"/>
            </w:tcBorders>
            <w:shd w:val="clear" w:color="auto" w:fill="auto"/>
            <w:vAlign w:val="center"/>
            <w:hideMark/>
          </w:tcPr>
          <w:p w14:paraId="458410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260B9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C8DF3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Elektroniczne wnioski urlopowe.</w:t>
            </w:r>
          </w:p>
        </w:tc>
        <w:tc>
          <w:tcPr>
            <w:tcW w:w="850" w:type="dxa"/>
            <w:tcBorders>
              <w:top w:val="nil"/>
              <w:left w:val="nil"/>
              <w:bottom w:val="single" w:sz="8" w:space="0" w:color="auto"/>
              <w:right w:val="single" w:sz="8" w:space="0" w:color="auto"/>
            </w:tcBorders>
            <w:shd w:val="clear" w:color="auto" w:fill="auto"/>
            <w:vAlign w:val="center"/>
            <w:hideMark/>
          </w:tcPr>
          <w:p w14:paraId="2B2915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A66444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96B8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Elektroniczny obieg dokumentów.</w:t>
            </w:r>
          </w:p>
        </w:tc>
        <w:tc>
          <w:tcPr>
            <w:tcW w:w="850" w:type="dxa"/>
            <w:tcBorders>
              <w:top w:val="nil"/>
              <w:left w:val="nil"/>
              <w:bottom w:val="single" w:sz="8" w:space="0" w:color="auto"/>
              <w:right w:val="single" w:sz="8" w:space="0" w:color="auto"/>
            </w:tcBorders>
            <w:shd w:val="clear" w:color="auto" w:fill="auto"/>
            <w:vAlign w:val="center"/>
            <w:hideMark/>
          </w:tcPr>
          <w:p w14:paraId="791DE1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758BDA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55CFE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Aktualności – informacja o dokonanych modyfikacjach systemu (w tym wynikających ze zmian w przepisach).</w:t>
            </w:r>
          </w:p>
        </w:tc>
        <w:tc>
          <w:tcPr>
            <w:tcW w:w="850" w:type="dxa"/>
            <w:tcBorders>
              <w:top w:val="nil"/>
              <w:left w:val="nil"/>
              <w:bottom w:val="single" w:sz="8" w:space="0" w:color="auto"/>
              <w:right w:val="single" w:sz="8" w:space="0" w:color="auto"/>
            </w:tcBorders>
            <w:shd w:val="clear" w:color="auto" w:fill="auto"/>
            <w:vAlign w:val="center"/>
            <w:hideMark/>
          </w:tcPr>
          <w:p w14:paraId="47168E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ED211F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703B5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Ulubione – najczęściej wykorzystywane dokumenty.</w:t>
            </w:r>
          </w:p>
        </w:tc>
        <w:tc>
          <w:tcPr>
            <w:tcW w:w="850" w:type="dxa"/>
            <w:tcBorders>
              <w:top w:val="nil"/>
              <w:left w:val="nil"/>
              <w:bottom w:val="single" w:sz="8" w:space="0" w:color="auto"/>
              <w:right w:val="single" w:sz="8" w:space="0" w:color="auto"/>
            </w:tcBorders>
            <w:shd w:val="clear" w:color="auto" w:fill="auto"/>
            <w:vAlign w:val="center"/>
            <w:hideMark/>
          </w:tcPr>
          <w:p w14:paraId="16A1F8C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44022F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08B7A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Urząd Skarbowy – wymuszenie zapisu na etapie zatrudnienia pracownika.</w:t>
            </w:r>
          </w:p>
        </w:tc>
        <w:tc>
          <w:tcPr>
            <w:tcW w:w="850" w:type="dxa"/>
            <w:tcBorders>
              <w:top w:val="nil"/>
              <w:left w:val="nil"/>
              <w:bottom w:val="single" w:sz="8" w:space="0" w:color="auto"/>
              <w:right w:val="single" w:sz="8" w:space="0" w:color="auto"/>
            </w:tcBorders>
            <w:shd w:val="clear" w:color="auto" w:fill="auto"/>
            <w:vAlign w:val="center"/>
            <w:hideMark/>
          </w:tcPr>
          <w:p w14:paraId="357A69F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48CB00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8934D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jednoczesnego dostępu do danych tego samego pracownika przez kilku użytkowników.</w:t>
            </w:r>
          </w:p>
        </w:tc>
        <w:tc>
          <w:tcPr>
            <w:tcW w:w="850" w:type="dxa"/>
            <w:tcBorders>
              <w:top w:val="nil"/>
              <w:left w:val="nil"/>
              <w:bottom w:val="single" w:sz="8" w:space="0" w:color="auto"/>
              <w:right w:val="single" w:sz="8" w:space="0" w:color="auto"/>
            </w:tcBorders>
            <w:shd w:val="clear" w:color="auto" w:fill="auto"/>
            <w:vAlign w:val="center"/>
            <w:hideMark/>
          </w:tcPr>
          <w:p w14:paraId="79BD0C4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9082B3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4A95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Możliwość definiowania przez uprawnionego użytkownika dodatków do wynagrodzenia.</w:t>
            </w:r>
          </w:p>
        </w:tc>
        <w:tc>
          <w:tcPr>
            <w:tcW w:w="850" w:type="dxa"/>
            <w:tcBorders>
              <w:top w:val="nil"/>
              <w:left w:val="nil"/>
              <w:bottom w:val="single" w:sz="8" w:space="0" w:color="auto"/>
              <w:right w:val="single" w:sz="8" w:space="0" w:color="auto"/>
            </w:tcBorders>
            <w:shd w:val="clear" w:color="auto" w:fill="auto"/>
            <w:vAlign w:val="center"/>
            <w:hideMark/>
          </w:tcPr>
          <w:p w14:paraId="3C4E75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95535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6F40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korekty lub usunięcia błędnie wprowadzonego zapisu.</w:t>
            </w:r>
          </w:p>
        </w:tc>
        <w:tc>
          <w:tcPr>
            <w:tcW w:w="850" w:type="dxa"/>
            <w:tcBorders>
              <w:top w:val="nil"/>
              <w:left w:val="nil"/>
              <w:bottom w:val="single" w:sz="8" w:space="0" w:color="auto"/>
              <w:right w:val="single" w:sz="8" w:space="0" w:color="auto"/>
            </w:tcBorders>
            <w:shd w:val="clear" w:color="auto" w:fill="auto"/>
            <w:vAlign w:val="center"/>
            <w:hideMark/>
          </w:tcPr>
          <w:p w14:paraId="7BFD5AE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9B50B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AB218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16. Nagrody uznaniowe + </w:t>
            </w:r>
            <w:proofErr w:type="spellStart"/>
            <w:r w:rsidRPr="00B97E7A">
              <w:rPr>
                <w:rFonts w:ascii="Times New Roman" w:eastAsia="Times New Roman" w:hAnsi="Times New Roman" w:cs="Times New Roman"/>
                <w:kern w:val="0"/>
                <w:sz w:val="28"/>
                <w:szCs w:val="28"/>
                <w:lang w:eastAsia="pl-PL"/>
                <w14:ligatures w14:val="none"/>
              </w:rPr>
              <w:t>bazówka</w:t>
            </w:r>
            <w:proofErr w:type="spellEnd"/>
            <w:r w:rsidRPr="00B97E7A">
              <w:rPr>
                <w:rFonts w:ascii="Times New Roman" w:eastAsia="Times New Roman" w:hAnsi="Times New Roman" w:cs="Times New Roman"/>
                <w:kern w:val="0"/>
                <w:sz w:val="28"/>
                <w:szCs w:val="28"/>
                <w:lang w:eastAsia="pl-PL"/>
                <w14:ligatures w14:val="none"/>
              </w:rPr>
              <w:t xml:space="preserve"> (drukowanie seryjne).</w:t>
            </w:r>
          </w:p>
        </w:tc>
        <w:tc>
          <w:tcPr>
            <w:tcW w:w="850" w:type="dxa"/>
            <w:tcBorders>
              <w:top w:val="nil"/>
              <w:left w:val="nil"/>
              <w:bottom w:val="single" w:sz="8" w:space="0" w:color="auto"/>
              <w:right w:val="single" w:sz="8" w:space="0" w:color="auto"/>
            </w:tcBorders>
            <w:shd w:val="clear" w:color="auto" w:fill="auto"/>
            <w:vAlign w:val="center"/>
            <w:hideMark/>
          </w:tcPr>
          <w:p w14:paraId="7831E14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42B419E" w14:textId="77777777" w:rsidTr="00B97E7A">
        <w:trPr>
          <w:trHeight w:val="5250"/>
        </w:trPr>
        <w:tc>
          <w:tcPr>
            <w:tcW w:w="9215" w:type="dxa"/>
            <w:tcBorders>
              <w:top w:val="nil"/>
              <w:left w:val="single" w:sz="8" w:space="0" w:color="auto"/>
              <w:bottom w:val="nil"/>
              <w:right w:val="single" w:sz="8" w:space="0" w:color="auto"/>
            </w:tcBorders>
            <w:shd w:val="clear" w:color="auto" w:fill="auto"/>
            <w:vAlign w:val="center"/>
            <w:hideMark/>
          </w:tcPr>
          <w:p w14:paraId="5D73FE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Sygnalizowanie, ze zdefiniowanym przez użytkownika wyprzedzeniem (np. miesiąc), zbliżającego się terminu (dostępne dla wyznaczonych użytkowników):</w:t>
            </w:r>
            <w:r w:rsidRPr="00B97E7A">
              <w:rPr>
                <w:rFonts w:ascii="Times New Roman" w:eastAsia="Times New Roman" w:hAnsi="Times New Roman" w:cs="Times New Roman"/>
                <w:kern w:val="0"/>
                <w:sz w:val="28"/>
                <w:szCs w:val="28"/>
                <w:lang w:eastAsia="pl-PL"/>
                <w14:ligatures w14:val="none"/>
              </w:rPr>
              <w:br/>
              <w:t>17.1. końca umowy o pracę zawartej na czas określony, drugiej umowy na czas określony /wszystkich umów,</w:t>
            </w:r>
            <w:r w:rsidRPr="00B97E7A">
              <w:rPr>
                <w:rFonts w:ascii="Times New Roman" w:eastAsia="Times New Roman" w:hAnsi="Times New Roman" w:cs="Times New Roman"/>
                <w:kern w:val="0"/>
                <w:sz w:val="28"/>
                <w:szCs w:val="28"/>
                <w:lang w:eastAsia="pl-PL"/>
                <w14:ligatures w14:val="none"/>
              </w:rPr>
              <w:br/>
              <w:t>17.2. końca ważności obowiązkowych badań okresowych,</w:t>
            </w:r>
            <w:r w:rsidRPr="00B97E7A">
              <w:rPr>
                <w:rFonts w:ascii="Times New Roman" w:eastAsia="Times New Roman" w:hAnsi="Times New Roman" w:cs="Times New Roman"/>
                <w:kern w:val="0"/>
                <w:sz w:val="28"/>
                <w:szCs w:val="28"/>
                <w:lang w:eastAsia="pl-PL"/>
                <w14:ligatures w14:val="none"/>
              </w:rPr>
              <w:br/>
              <w:t>17.3. końca dodatku specjalnego lub zadaniowego,</w:t>
            </w:r>
            <w:r w:rsidRPr="00B97E7A">
              <w:rPr>
                <w:rFonts w:ascii="Times New Roman" w:eastAsia="Times New Roman" w:hAnsi="Times New Roman" w:cs="Times New Roman"/>
                <w:kern w:val="0"/>
                <w:sz w:val="28"/>
                <w:szCs w:val="28"/>
                <w:lang w:eastAsia="pl-PL"/>
                <w14:ligatures w14:val="none"/>
              </w:rPr>
              <w:br/>
              <w:t>17.4. nabycie prawa do urlopu wypoczynkowego o wyższym wymiarze (np. z 20 do 26 dni),</w:t>
            </w:r>
            <w:r w:rsidRPr="00B97E7A">
              <w:rPr>
                <w:rFonts w:ascii="Times New Roman" w:eastAsia="Times New Roman" w:hAnsi="Times New Roman" w:cs="Times New Roman"/>
                <w:kern w:val="0"/>
                <w:sz w:val="28"/>
                <w:szCs w:val="28"/>
                <w:lang w:eastAsia="pl-PL"/>
                <w14:ligatures w14:val="none"/>
              </w:rPr>
              <w:br/>
              <w:t>17.5. nabycia prawa do dodatkowego urlopu (np. osób niepełnosprawnych),</w:t>
            </w:r>
            <w:r w:rsidRPr="00B97E7A">
              <w:rPr>
                <w:rFonts w:ascii="Times New Roman" w:eastAsia="Times New Roman" w:hAnsi="Times New Roman" w:cs="Times New Roman"/>
                <w:kern w:val="0"/>
                <w:sz w:val="28"/>
                <w:szCs w:val="28"/>
                <w:lang w:eastAsia="pl-PL"/>
                <w14:ligatures w14:val="none"/>
              </w:rPr>
              <w:br/>
              <w:t>17.6. końca urlopu bezpłatnego,</w:t>
            </w:r>
            <w:r w:rsidRPr="00B97E7A">
              <w:rPr>
                <w:rFonts w:ascii="Times New Roman" w:eastAsia="Times New Roman" w:hAnsi="Times New Roman" w:cs="Times New Roman"/>
                <w:kern w:val="0"/>
                <w:sz w:val="28"/>
                <w:szCs w:val="28"/>
                <w:lang w:eastAsia="pl-PL"/>
                <w14:ligatures w14:val="none"/>
              </w:rPr>
              <w:br/>
              <w:t>17.7. końca urlopu wychowawczego,</w:t>
            </w:r>
            <w:r w:rsidRPr="00B97E7A">
              <w:rPr>
                <w:rFonts w:ascii="Times New Roman" w:eastAsia="Times New Roman" w:hAnsi="Times New Roman" w:cs="Times New Roman"/>
                <w:kern w:val="0"/>
                <w:sz w:val="28"/>
                <w:szCs w:val="28"/>
                <w:lang w:eastAsia="pl-PL"/>
                <w14:ligatures w14:val="none"/>
              </w:rPr>
              <w:br/>
              <w:t>17.8. końca urlopu macierzyńskiego, ojcowskiego, rodzicielskiego,</w:t>
            </w:r>
            <w:r w:rsidRPr="00B97E7A">
              <w:rPr>
                <w:rFonts w:ascii="Times New Roman" w:eastAsia="Times New Roman" w:hAnsi="Times New Roman" w:cs="Times New Roman"/>
                <w:kern w:val="0"/>
                <w:sz w:val="28"/>
                <w:szCs w:val="28"/>
                <w:lang w:eastAsia="pl-PL"/>
                <w14:ligatures w14:val="none"/>
              </w:rPr>
              <w:br/>
              <w:t>17.9. zakończenia kolejnych etapów podnoszenia kwalifikacji w ramach umowy szkoleniowej lub kursu językowego,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45F1B1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A3942C2"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812D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17.10. zbliżający się koniec terminu ważności dokumentu tożsamości,</w:t>
            </w:r>
            <w:r w:rsidRPr="00B97E7A">
              <w:rPr>
                <w:rFonts w:ascii="Times New Roman" w:eastAsia="Times New Roman" w:hAnsi="Times New Roman" w:cs="Times New Roman"/>
                <w:kern w:val="0"/>
                <w:sz w:val="28"/>
                <w:szCs w:val="28"/>
                <w:lang w:eastAsia="pl-PL"/>
                <w14:ligatures w14:val="none"/>
              </w:rPr>
              <w:br/>
              <w:t>17.11. urlop na żądanie (zbliżający się koniec wymiaru),</w:t>
            </w:r>
            <w:r w:rsidRPr="00B97E7A">
              <w:rPr>
                <w:rFonts w:ascii="Times New Roman" w:eastAsia="Times New Roman" w:hAnsi="Times New Roman" w:cs="Times New Roman"/>
                <w:kern w:val="0"/>
                <w:sz w:val="28"/>
                <w:szCs w:val="28"/>
                <w:lang w:eastAsia="pl-PL"/>
                <w14:ligatures w14:val="none"/>
              </w:rPr>
              <w:br/>
              <w:t>17.12. konieczność usunięcia nałożonej na pracownika kary porządkowej,</w:t>
            </w:r>
            <w:r w:rsidRPr="00B97E7A">
              <w:rPr>
                <w:rFonts w:ascii="Times New Roman" w:eastAsia="Times New Roman" w:hAnsi="Times New Roman" w:cs="Times New Roman"/>
                <w:kern w:val="0"/>
                <w:sz w:val="28"/>
                <w:szCs w:val="28"/>
                <w:lang w:eastAsia="pl-PL"/>
                <w14:ligatures w14:val="none"/>
              </w:rPr>
              <w:br/>
              <w:t>17.13. koniec obowiązywania indywidualnego czasu pracy,</w:t>
            </w:r>
            <w:r w:rsidRPr="00B97E7A">
              <w:rPr>
                <w:rFonts w:ascii="Times New Roman" w:eastAsia="Times New Roman" w:hAnsi="Times New Roman" w:cs="Times New Roman"/>
                <w:kern w:val="0"/>
                <w:sz w:val="28"/>
                <w:szCs w:val="28"/>
                <w:lang w:eastAsia="pl-PL"/>
                <w14:ligatures w14:val="none"/>
              </w:rPr>
              <w:br/>
              <w:t>17.14. zakończenie pracy zdalnej (na wniosek pracownika, pracodawcy),</w:t>
            </w:r>
            <w:r w:rsidRPr="00B97E7A">
              <w:rPr>
                <w:rFonts w:ascii="Times New Roman" w:eastAsia="Times New Roman" w:hAnsi="Times New Roman" w:cs="Times New Roman"/>
                <w:kern w:val="0"/>
                <w:sz w:val="28"/>
                <w:szCs w:val="28"/>
                <w:lang w:eastAsia="pl-PL"/>
                <w14:ligatures w14:val="none"/>
              </w:rPr>
              <w:br/>
              <w:t>17.15. koniec wymiaru pracy zdalnej okazjonalnej,</w:t>
            </w:r>
            <w:r w:rsidRPr="00B97E7A">
              <w:rPr>
                <w:rFonts w:ascii="Times New Roman" w:eastAsia="Times New Roman" w:hAnsi="Times New Roman" w:cs="Times New Roman"/>
                <w:kern w:val="0"/>
                <w:sz w:val="28"/>
                <w:szCs w:val="28"/>
                <w:lang w:eastAsia="pl-PL"/>
                <w14:ligatures w14:val="none"/>
              </w:rPr>
              <w:br/>
              <w:t>17.16. końca chorobowego 182 dni,</w:t>
            </w:r>
            <w:r w:rsidRPr="00B97E7A">
              <w:rPr>
                <w:rFonts w:ascii="Times New Roman" w:eastAsia="Times New Roman" w:hAnsi="Times New Roman" w:cs="Times New Roman"/>
                <w:kern w:val="0"/>
                <w:sz w:val="28"/>
                <w:szCs w:val="28"/>
                <w:lang w:eastAsia="pl-PL"/>
                <w14:ligatures w14:val="none"/>
              </w:rPr>
              <w:br/>
              <w:t>17.17. chorobowe ponad 30 dni,</w:t>
            </w:r>
            <w:r w:rsidRPr="00B97E7A">
              <w:rPr>
                <w:rFonts w:ascii="Times New Roman" w:eastAsia="Times New Roman" w:hAnsi="Times New Roman" w:cs="Times New Roman"/>
                <w:kern w:val="0"/>
                <w:sz w:val="28"/>
                <w:szCs w:val="28"/>
                <w:lang w:eastAsia="pl-PL"/>
                <w14:ligatures w14:val="none"/>
              </w:rPr>
              <w:br/>
              <w:t>17.18. wejściu pracownika w okres ochrony – 4 lata do osiągnięcia wieku emerytalnego.</w:t>
            </w:r>
          </w:p>
        </w:tc>
        <w:tc>
          <w:tcPr>
            <w:tcW w:w="850" w:type="dxa"/>
            <w:vMerge/>
            <w:tcBorders>
              <w:top w:val="nil"/>
              <w:left w:val="single" w:sz="8" w:space="0" w:color="auto"/>
              <w:bottom w:val="single" w:sz="8" w:space="0" w:color="000000"/>
              <w:right w:val="single" w:sz="8" w:space="0" w:color="auto"/>
            </w:tcBorders>
            <w:vAlign w:val="center"/>
            <w:hideMark/>
          </w:tcPr>
          <w:p w14:paraId="78AE1A70"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1386675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C2E0E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Praca zdalna (wprowadzana tylko z poziomu Kadr):</w:t>
            </w:r>
          </w:p>
        </w:tc>
        <w:tc>
          <w:tcPr>
            <w:tcW w:w="850" w:type="dxa"/>
            <w:tcBorders>
              <w:top w:val="nil"/>
              <w:left w:val="nil"/>
              <w:bottom w:val="single" w:sz="8" w:space="0" w:color="auto"/>
              <w:right w:val="single" w:sz="8" w:space="0" w:color="auto"/>
            </w:tcBorders>
            <w:shd w:val="clear" w:color="000000" w:fill="A6A6A6"/>
            <w:vAlign w:val="center"/>
            <w:hideMark/>
          </w:tcPr>
          <w:p w14:paraId="7C3B8C6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D80429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3774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18.1. okazjonalna (wymiar 24 dni/rok),</w:t>
            </w:r>
          </w:p>
        </w:tc>
        <w:tc>
          <w:tcPr>
            <w:tcW w:w="850" w:type="dxa"/>
            <w:tcBorders>
              <w:top w:val="nil"/>
              <w:left w:val="nil"/>
              <w:bottom w:val="single" w:sz="8" w:space="0" w:color="auto"/>
              <w:right w:val="single" w:sz="8" w:space="0" w:color="auto"/>
            </w:tcBorders>
            <w:shd w:val="clear" w:color="auto" w:fill="auto"/>
            <w:vAlign w:val="center"/>
            <w:hideMark/>
          </w:tcPr>
          <w:p w14:paraId="38833B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B6096D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889B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18.2. na wniosek pracownika całościowa, hybrydowa z możliwością określenia ryczałtu (dziennego, miesięcznego, kwartalnego, rocznego),</w:t>
            </w:r>
          </w:p>
        </w:tc>
        <w:tc>
          <w:tcPr>
            <w:tcW w:w="850" w:type="dxa"/>
            <w:tcBorders>
              <w:top w:val="nil"/>
              <w:left w:val="nil"/>
              <w:bottom w:val="single" w:sz="8" w:space="0" w:color="auto"/>
              <w:right w:val="single" w:sz="8" w:space="0" w:color="auto"/>
            </w:tcBorders>
            <w:shd w:val="clear" w:color="auto" w:fill="auto"/>
            <w:vAlign w:val="center"/>
            <w:hideMark/>
          </w:tcPr>
          <w:p w14:paraId="7FB845F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DB7170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8720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18.3. na wniosek pracodawcy całościowa, hybrydowa z możliwością określenia ryczałtu (dziennego, miesięcznego, kwartalnego, rocznego).</w:t>
            </w:r>
          </w:p>
        </w:tc>
        <w:tc>
          <w:tcPr>
            <w:tcW w:w="850" w:type="dxa"/>
            <w:tcBorders>
              <w:top w:val="nil"/>
              <w:left w:val="nil"/>
              <w:bottom w:val="single" w:sz="8" w:space="0" w:color="auto"/>
              <w:right w:val="single" w:sz="8" w:space="0" w:color="auto"/>
            </w:tcBorders>
            <w:shd w:val="clear" w:color="auto" w:fill="auto"/>
            <w:vAlign w:val="center"/>
            <w:hideMark/>
          </w:tcPr>
          <w:p w14:paraId="11E949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0FFFA3" w14:textId="77777777" w:rsidTr="00B97E7A">
        <w:trPr>
          <w:trHeight w:val="7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FAAC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Raporty predefiniowane z możliwością edycji np.:</w:t>
            </w:r>
            <w:r w:rsidRPr="00B97E7A">
              <w:rPr>
                <w:rFonts w:ascii="Times New Roman" w:eastAsia="Times New Roman" w:hAnsi="Times New Roman" w:cs="Times New Roman"/>
                <w:kern w:val="0"/>
                <w:sz w:val="28"/>
                <w:szCs w:val="28"/>
                <w:lang w:eastAsia="pl-PL"/>
                <w14:ligatures w14:val="none"/>
              </w:rPr>
              <w:br/>
              <w:t>19.1. średnie zatrudnienie na okres,</w:t>
            </w:r>
            <w:r w:rsidRPr="00B97E7A">
              <w:rPr>
                <w:rFonts w:ascii="Times New Roman" w:eastAsia="Times New Roman" w:hAnsi="Times New Roman" w:cs="Times New Roman"/>
                <w:kern w:val="0"/>
                <w:sz w:val="28"/>
                <w:szCs w:val="28"/>
                <w:lang w:eastAsia="pl-PL"/>
                <w14:ligatures w14:val="none"/>
              </w:rPr>
              <w:br/>
              <w:t>19.2. osobowo-ilościowe, w tym z podziałem na etaty,</w:t>
            </w:r>
            <w:r w:rsidRPr="00B97E7A">
              <w:rPr>
                <w:rFonts w:ascii="Times New Roman" w:eastAsia="Times New Roman" w:hAnsi="Times New Roman" w:cs="Times New Roman"/>
                <w:kern w:val="0"/>
                <w:sz w:val="28"/>
                <w:szCs w:val="28"/>
                <w:lang w:eastAsia="pl-PL"/>
                <w14:ligatures w14:val="none"/>
              </w:rPr>
              <w:br/>
              <w:t>19.3. absencje,</w:t>
            </w:r>
            <w:r w:rsidRPr="00B97E7A">
              <w:rPr>
                <w:rFonts w:ascii="Times New Roman" w:eastAsia="Times New Roman" w:hAnsi="Times New Roman" w:cs="Times New Roman"/>
                <w:kern w:val="0"/>
                <w:sz w:val="28"/>
                <w:szCs w:val="28"/>
                <w:lang w:eastAsia="pl-PL"/>
                <w14:ligatures w14:val="none"/>
              </w:rPr>
              <w:br/>
              <w:t>19.4. urlopy – zaległe, 14 dniowe,</w:t>
            </w:r>
            <w:r w:rsidRPr="00B97E7A">
              <w:rPr>
                <w:rFonts w:ascii="Times New Roman" w:eastAsia="Times New Roman" w:hAnsi="Times New Roman" w:cs="Times New Roman"/>
                <w:kern w:val="0"/>
                <w:sz w:val="28"/>
                <w:szCs w:val="28"/>
                <w:lang w:eastAsia="pl-PL"/>
                <w14:ligatures w14:val="none"/>
              </w:rPr>
              <w:br/>
              <w:t>19.5. badania lekarskie,</w:t>
            </w:r>
            <w:r w:rsidRPr="00B97E7A">
              <w:rPr>
                <w:rFonts w:ascii="Times New Roman" w:eastAsia="Times New Roman" w:hAnsi="Times New Roman" w:cs="Times New Roman"/>
                <w:kern w:val="0"/>
                <w:sz w:val="28"/>
                <w:szCs w:val="28"/>
                <w:lang w:eastAsia="pl-PL"/>
                <w14:ligatures w14:val="none"/>
              </w:rPr>
              <w:br/>
              <w:t>19.6. umowy, terminy, rodzaje, struktura organizacyjna,</w:t>
            </w:r>
            <w:r w:rsidRPr="00B97E7A">
              <w:rPr>
                <w:rFonts w:ascii="Times New Roman" w:eastAsia="Times New Roman" w:hAnsi="Times New Roman" w:cs="Times New Roman"/>
                <w:kern w:val="0"/>
                <w:sz w:val="28"/>
                <w:szCs w:val="28"/>
                <w:lang w:eastAsia="pl-PL"/>
                <w14:ligatures w14:val="none"/>
              </w:rPr>
              <w:br/>
              <w:t>19.7. angaże, przeszeregowania,</w:t>
            </w:r>
            <w:r w:rsidRPr="00B97E7A">
              <w:rPr>
                <w:rFonts w:ascii="Times New Roman" w:eastAsia="Times New Roman" w:hAnsi="Times New Roman" w:cs="Times New Roman"/>
                <w:kern w:val="0"/>
                <w:sz w:val="28"/>
                <w:szCs w:val="28"/>
                <w:lang w:eastAsia="pl-PL"/>
                <w14:ligatures w14:val="none"/>
              </w:rPr>
              <w:br/>
              <w:t>19.8. fluktuacja zatrudnienia,</w:t>
            </w:r>
            <w:r w:rsidRPr="00B97E7A">
              <w:rPr>
                <w:rFonts w:ascii="Times New Roman" w:eastAsia="Times New Roman" w:hAnsi="Times New Roman" w:cs="Times New Roman"/>
                <w:kern w:val="0"/>
                <w:sz w:val="28"/>
                <w:szCs w:val="28"/>
                <w:lang w:eastAsia="pl-PL"/>
                <w14:ligatures w14:val="none"/>
              </w:rPr>
              <w:br/>
              <w:t>19.9. wg kalendarza pracy,</w:t>
            </w:r>
            <w:r w:rsidRPr="00B97E7A">
              <w:rPr>
                <w:rFonts w:ascii="Times New Roman" w:eastAsia="Times New Roman" w:hAnsi="Times New Roman" w:cs="Times New Roman"/>
                <w:kern w:val="0"/>
                <w:sz w:val="28"/>
                <w:szCs w:val="28"/>
                <w:lang w:eastAsia="pl-PL"/>
                <w14:ligatures w14:val="none"/>
              </w:rPr>
              <w:br/>
              <w:t>19.10. rodzina, z podziałem na członków rodziny(PESEL, data urodzenia, pokrewieństwo),</w:t>
            </w:r>
            <w:r w:rsidRPr="00B97E7A">
              <w:rPr>
                <w:rFonts w:ascii="Times New Roman" w:eastAsia="Times New Roman" w:hAnsi="Times New Roman" w:cs="Times New Roman"/>
                <w:kern w:val="0"/>
                <w:sz w:val="28"/>
                <w:szCs w:val="28"/>
                <w:lang w:eastAsia="pl-PL"/>
                <w14:ligatures w14:val="none"/>
              </w:rPr>
              <w:br/>
              <w:t>19.11. zatrudnienie na dzień,</w:t>
            </w:r>
            <w:r w:rsidRPr="00B97E7A">
              <w:rPr>
                <w:rFonts w:ascii="Times New Roman" w:eastAsia="Times New Roman" w:hAnsi="Times New Roman" w:cs="Times New Roman"/>
                <w:kern w:val="0"/>
                <w:sz w:val="28"/>
                <w:szCs w:val="28"/>
                <w:lang w:eastAsia="pl-PL"/>
                <w14:ligatures w14:val="none"/>
              </w:rPr>
              <w:br/>
              <w:t>19.12. zatrudnienie na etat,</w:t>
            </w:r>
            <w:r w:rsidRPr="00B97E7A">
              <w:rPr>
                <w:rFonts w:ascii="Times New Roman" w:eastAsia="Times New Roman" w:hAnsi="Times New Roman" w:cs="Times New Roman"/>
                <w:kern w:val="0"/>
                <w:sz w:val="28"/>
                <w:szCs w:val="28"/>
                <w:lang w:eastAsia="pl-PL"/>
                <w14:ligatures w14:val="none"/>
              </w:rPr>
              <w:br/>
              <w:t>19.13. wykaz emerytów i rencistów,</w:t>
            </w:r>
            <w:r w:rsidRPr="00B97E7A">
              <w:rPr>
                <w:rFonts w:ascii="Times New Roman" w:eastAsia="Times New Roman" w:hAnsi="Times New Roman" w:cs="Times New Roman"/>
                <w:kern w:val="0"/>
                <w:sz w:val="28"/>
                <w:szCs w:val="28"/>
                <w:lang w:eastAsia="pl-PL"/>
                <w14:ligatures w14:val="none"/>
              </w:rPr>
              <w:br/>
              <w:t>19.14. wykaz osób niepełnosprawnych,</w:t>
            </w:r>
            <w:r w:rsidRPr="00B97E7A">
              <w:rPr>
                <w:rFonts w:ascii="Times New Roman" w:eastAsia="Times New Roman" w:hAnsi="Times New Roman" w:cs="Times New Roman"/>
                <w:kern w:val="0"/>
                <w:sz w:val="28"/>
                <w:szCs w:val="28"/>
                <w:lang w:eastAsia="pl-PL"/>
                <w14:ligatures w14:val="none"/>
              </w:rPr>
              <w:br/>
              <w:t>19.15. wykaz osób pracujących w warunkach szczególnych oraz FEP,</w:t>
            </w:r>
            <w:r w:rsidRPr="00B97E7A">
              <w:rPr>
                <w:rFonts w:ascii="Times New Roman" w:eastAsia="Times New Roman" w:hAnsi="Times New Roman" w:cs="Times New Roman"/>
                <w:kern w:val="0"/>
                <w:sz w:val="28"/>
                <w:szCs w:val="28"/>
                <w:lang w:eastAsia="pl-PL"/>
                <w14:ligatures w14:val="none"/>
              </w:rPr>
              <w:br/>
              <w:t>19.16. wykaz osób pracujących wg kalendarzy,</w:t>
            </w:r>
            <w:r w:rsidRPr="00B97E7A">
              <w:rPr>
                <w:rFonts w:ascii="Times New Roman" w:eastAsia="Times New Roman" w:hAnsi="Times New Roman" w:cs="Times New Roman"/>
                <w:kern w:val="0"/>
                <w:sz w:val="28"/>
                <w:szCs w:val="28"/>
                <w:lang w:eastAsia="pl-PL"/>
                <w14:ligatures w14:val="none"/>
              </w:rPr>
              <w:br/>
              <w:t>19.17. składniki kadrowe, płacowe.</w:t>
            </w:r>
          </w:p>
        </w:tc>
        <w:tc>
          <w:tcPr>
            <w:tcW w:w="850" w:type="dxa"/>
            <w:tcBorders>
              <w:top w:val="nil"/>
              <w:left w:val="nil"/>
              <w:bottom w:val="single" w:sz="8" w:space="0" w:color="auto"/>
              <w:right w:val="single" w:sz="8" w:space="0" w:color="auto"/>
            </w:tcBorders>
            <w:shd w:val="clear" w:color="auto" w:fill="auto"/>
            <w:vAlign w:val="center"/>
            <w:hideMark/>
          </w:tcPr>
          <w:p w14:paraId="32C3FEB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3773143"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CED06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Możliwość wykorzystania w raportach dowolnych informacji dostępnych w systemie np. kody zawodów, wykształcenie, wiek, płeć, stan cywilny, obywatelstwo, kary, daty (urodzenia, zatrudnienia, zwolnienia), staż (ogólny, w zawodzie), grupa zatrudnienia, kod ZUS zwolnienia, tytuł ubezpieczenia, stanowisko, wymiar etatu, kategoria zaszeregowania, nr akt, nr ewidencyjny itp.</w:t>
            </w:r>
          </w:p>
        </w:tc>
        <w:tc>
          <w:tcPr>
            <w:tcW w:w="850" w:type="dxa"/>
            <w:tcBorders>
              <w:top w:val="nil"/>
              <w:left w:val="nil"/>
              <w:bottom w:val="single" w:sz="8" w:space="0" w:color="auto"/>
              <w:right w:val="single" w:sz="8" w:space="0" w:color="auto"/>
            </w:tcBorders>
            <w:shd w:val="clear" w:color="auto" w:fill="auto"/>
            <w:vAlign w:val="center"/>
            <w:hideMark/>
          </w:tcPr>
          <w:p w14:paraId="5D1ED8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FB389F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A9988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Zwolnienia lekarskie:</w:t>
            </w:r>
          </w:p>
        </w:tc>
        <w:tc>
          <w:tcPr>
            <w:tcW w:w="850" w:type="dxa"/>
            <w:tcBorders>
              <w:top w:val="nil"/>
              <w:left w:val="nil"/>
              <w:bottom w:val="single" w:sz="8" w:space="0" w:color="auto"/>
              <w:right w:val="single" w:sz="8" w:space="0" w:color="auto"/>
            </w:tcBorders>
            <w:shd w:val="clear" w:color="000000" w:fill="A6A6A6"/>
            <w:vAlign w:val="center"/>
            <w:hideMark/>
          </w:tcPr>
          <w:p w14:paraId="1B4D4D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E6DA83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C08E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21.1. Import elektronicznych zwolnień lekarskich z </w:t>
            </w:r>
            <w:proofErr w:type="spellStart"/>
            <w:r w:rsidRPr="00B97E7A">
              <w:rPr>
                <w:rFonts w:ascii="Times New Roman" w:eastAsia="Times New Roman" w:hAnsi="Times New Roman" w:cs="Times New Roman"/>
                <w:kern w:val="0"/>
                <w:sz w:val="28"/>
                <w:szCs w:val="28"/>
                <w:lang w:eastAsia="pl-PL"/>
                <w14:ligatures w14:val="none"/>
              </w:rPr>
              <w:t>ePUE</w:t>
            </w:r>
            <w:proofErr w:type="spellEnd"/>
            <w:r w:rsidRPr="00B97E7A">
              <w:rPr>
                <w:rFonts w:ascii="Times New Roman" w:eastAsia="Times New Roman" w:hAnsi="Times New Roman" w:cs="Times New Roman"/>
                <w:kern w:val="0"/>
                <w:sz w:val="28"/>
                <w:szCs w:val="28"/>
                <w:lang w:eastAsia="pl-PL"/>
                <w14:ligatures w14:val="none"/>
              </w:rPr>
              <w:t xml:space="preserve"> do kartoteki nieobecności,</w:t>
            </w:r>
          </w:p>
        </w:tc>
        <w:tc>
          <w:tcPr>
            <w:tcW w:w="850" w:type="dxa"/>
            <w:tcBorders>
              <w:top w:val="nil"/>
              <w:left w:val="nil"/>
              <w:bottom w:val="single" w:sz="8" w:space="0" w:color="auto"/>
              <w:right w:val="single" w:sz="8" w:space="0" w:color="auto"/>
            </w:tcBorders>
            <w:shd w:val="clear" w:color="auto" w:fill="auto"/>
            <w:vAlign w:val="center"/>
            <w:hideMark/>
          </w:tcPr>
          <w:p w14:paraId="6732AE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67D863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DC2CC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21.2. Automatyczny zapis jednorazowo wielu zwolnień lekarskich,</w:t>
            </w:r>
          </w:p>
        </w:tc>
        <w:tc>
          <w:tcPr>
            <w:tcW w:w="850" w:type="dxa"/>
            <w:tcBorders>
              <w:top w:val="nil"/>
              <w:left w:val="nil"/>
              <w:bottom w:val="single" w:sz="8" w:space="0" w:color="auto"/>
              <w:right w:val="single" w:sz="8" w:space="0" w:color="auto"/>
            </w:tcBorders>
            <w:shd w:val="clear" w:color="auto" w:fill="auto"/>
            <w:vAlign w:val="center"/>
            <w:hideMark/>
          </w:tcPr>
          <w:p w14:paraId="6CAFFCA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1A74E7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93A2B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21.3. Alert w przypadku kolizji nieobecności z wyrzuconą informacją którego pracownika dotyczy błąd,</w:t>
            </w:r>
          </w:p>
        </w:tc>
        <w:tc>
          <w:tcPr>
            <w:tcW w:w="850" w:type="dxa"/>
            <w:tcBorders>
              <w:top w:val="nil"/>
              <w:left w:val="nil"/>
              <w:bottom w:val="single" w:sz="8" w:space="0" w:color="auto"/>
              <w:right w:val="single" w:sz="8" w:space="0" w:color="auto"/>
            </w:tcBorders>
            <w:shd w:val="clear" w:color="auto" w:fill="auto"/>
            <w:vAlign w:val="center"/>
            <w:hideMark/>
          </w:tcPr>
          <w:p w14:paraId="22D5DD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6D9D41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78BE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21.4. Alert o zbliżającym się końcu 30-dniowego zwolnienia chorobowego (potrzeba badań kontrolnych) oraz 182 dniach zasiłku chorobowego (wniosek na zasiłek rehabilitacyjny),</w:t>
            </w:r>
          </w:p>
        </w:tc>
        <w:tc>
          <w:tcPr>
            <w:tcW w:w="850" w:type="dxa"/>
            <w:tcBorders>
              <w:top w:val="nil"/>
              <w:left w:val="nil"/>
              <w:bottom w:val="single" w:sz="8" w:space="0" w:color="auto"/>
              <w:right w:val="single" w:sz="8" w:space="0" w:color="auto"/>
            </w:tcBorders>
            <w:shd w:val="clear" w:color="auto" w:fill="auto"/>
            <w:vAlign w:val="center"/>
            <w:hideMark/>
          </w:tcPr>
          <w:p w14:paraId="552F68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E2983AC"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AAFD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21.5. Możliwość wygenerowania skierowania na badania lekarskie do przychodni medycyny pracy (z danymi identyfikacyjnymi pracownika; ewentualny szablon dla pracowników umysłowych i fizycznych z możliwością modyfikacji warunków szczególnych).</w:t>
            </w:r>
          </w:p>
        </w:tc>
        <w:tc>
          <w:tcPr>
            <w:tcW w:w="850" w:type="dxa"/>
            <w:tcBorders>
              <w:top w:val="nil"/>
              <w:left w:val="nil"/>
              <w:bottom w:val="single" w:sz="8" w:space="0" w:color="auto"/>
              <w:right w:val="single" w:sz="8" w:space="0" w:color="auto"/>
            </w:tcBorders>
            <w:shd w:val="clear" w:color="auto" w:fill="auto"/>
            <w:vAlign w:val="center"/>
            <w:hideMark/>
          </w:tcPr>
          <w:p w14:paraId="63C095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D45422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AD40C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Delegacje:</w:t>
            </w:r>
          </w:p>
        </w:tc>
        <w:tc>
          <w:tcPr>
            <w:tcW w:w="850" w:type="dxa"/>
            <w:tcBorders>
              <w:top w:val="nil"/>
              <w:left w:val="nil"/>
              <w:bottom w:val="single" w:sz="8" w:space="0" w:color="auto"/>
              <w:right w:val="single" w:sz="8" w:space="0" w:color="auto"/>
            </w:tcBorders>
            <w:shd w:val="clear" w:color="000000" w:fill="A6A6A6"/>
            <w:vAlign w:val="center"/>
            <w:hideMark/>
          </w:tcPr>
          <w:p w14:paraId="169A6C9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DB8E66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070B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22.1. Możliwość rejestracji delegacji z przewidzianymi polami: data od-do; dokąd; cel; wybór na krajowe (domyślne) i zagraniczne,</w:t>
            </w:r>
          </w:p>
        </w:tc>
        <w:tc>
          <w:tcPr>
            <w:tcW w:w="850" w:type="dxa"/>
            <w:tcBorders>
              <w:top w:val="nil"/>
              <w:left w:val="nil"/>
              <w:bottom w:val="single" w:sz="8" w:space="0" w:color="auto"/>
              <w:right w:val="single" w:sz="8" w:space="0" w:color="auto"/>
            </w:tcBorders>
            <w:shd w:val="clear" w:color="auto" w:fill="auto"/>
            <w:vAlign w:val="center"/>
            <w:hideMark/>
          </w:tcPr>
          <w:p w14:paraId="1A572F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C4C5F1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6CB5B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22.2. Możliwość grupowego wprowadzania delegacji.</w:t>
            </w:r>
          </w:p>
        </w:tc>
        <w:tc>
          <w:tcPr>
            <w:tcW w:w="850" w:type="dxa"/>
            <w:tcBorders>
              <w:top w:val="nil"/>
              <w:left w:val="nil"/>
              <w:bottom w:val="single" w:sz="8" w:space="0" w:color="auto"/>
              <w:right w:val="single" w:sz="8" w:space="0" w:color="auto"/>
            </w:tcBorders>
            <w:shd w:val="clear" w:color="auto" w:fill="auto"/>
            <w:vAlign w:val="center"/>
            <w:hideMark/>
          </w:tcPr>
          <w:p w14:paraId="3A8430A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3238A3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E829E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Szkolenia:</w:t>
            </w:r>
          </w:p>
        </w:tc>
        <w:tc>
          <w:tcPr>
            <w:tcW w:w="850" w:type="dxa"/>
            <w:tcBorders>
              <w:top w:val="nil"/>
              <w:left w:val="nil"/>
              <w:bottom w:val="single" w:sz="8" w:space="0" w:color="auto"/>
              <w:right w:val="single" w:sz="8" w:space="0" w:color="auto"/>
            </w:tcBorders>
            <w:shd w:val="clear" w:color="000000" w:fill="A6A6A6"/>
            <w:vAlign w:val="center"/>
            <w:hideMark/>
          </w:tcPr>
          <w:p w14:paraId="1D9C60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074CA0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79A2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23.1. Słownik typów szkoleń z możliwością edycji,</w:t>
            </w:r>
          </w:p>
        </w:tc>
        <w:tc>
          <w:tcPr>
            <w:tcW w:w="850" w:type="dxa"/>
            <w:tcBorders>
              <w:top w:val="nil"/>
              <w:left w:val="nil"/>
              <w:bottom w:val="single" w:sz="8" w:space="0" w:color="auto"/>
              <w:right w:val="single" w:sz="8" w:space="0" w:color="auto"/>
            </w:tcBorders>
            <w:shd w:val="clear" w:color="auto" w:fill="auto"/>
            <w:vAlign w:val="center"/>
            <w:hideMark/>
          </w:tcPr>
          <w:p w14:paraId="364F04B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834B9D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7852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23.2. Parametryzacja: podział na grupy tj. wewnętrzne/zewnętrzne (domyślne), stacjonarne/on-line (domyślne) , status: otwarte-w toku/zakończone,</w:t>
            </w:r>
          </w:p>
        </w:tc>
        <w:tc>
          <w:tcPr>
            <w:tcW w:w="850" w:type="dxa"/>
            <w:tcBorders>
              <w:top w:val="nil"/>
              <w:left w:val="nil"/>
              <w:bottom w:val="single" w:sz="8" w:space="0" w:color="auto"/>
              <w:right w:val="single" w:sz="8" w:space="0" w:color="auto"/>
            </w:tcBorders>
            <w:shd w:val="clear" w:color="auto" w:fill="auto"/>
            <w:vAlign w:val="center"/>
            <w:hideMark/>
          </w:tcPr>
          <w:p w14:paraId="01FA3E4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FD230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CAF5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23.3. Możliwość utworzenia w systemie szkolenia zawierającego m.in.: nazwę, rodzaj, okres trwania, uczestników, organizatora (lista do wyboru z możliwością dodawania nowych), koszt, numer faktury,</w:t>
            </w:r>
          </w:p>
        </w:tc>
        <w:tc>
          <w:tcPr>
            <w:tcW w:w="850" w:type="dxa"/>
            <w:tcBorders>
              <w:top w:val="nil"/>
              <w:left w:val="nil"/>
              <w:bottom w:val="single" w:sz="8" w:space="0" w:color="auto"/>
              <w:right w:val="single" w:sz="8" w:space="0" w:color="auto"/>
            </w:tcBorders>
            <w:shd w:val="clear" w:color="auto" w:fill="auto"/>
            <w:vAlign w:val="center"/>
            <w:hideMark/>
          </w:tcPr>
          <w:p w14:paraId="1A260E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5A9985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36DB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23.4. Możliwość wprowadzenia wielu uczestników danego szkolenia,</w:t>
            </w:r>
          </w:p>
        </w:tc>
        <w:tc>
          <w:tcPr>
            <w:tcW w:w="850" w:type="dxa"/>
            <w:tcBorders>
              <w:top w:val="nil"/>
              <w:left w:val="nil"/>
              <w:bottom w:val="single" w:sz="8" w:space="0" w:color="auto"/>
              <w:right w:val="single" w:sz="8" w:space="0" w:color="auto"/>
            </w:tcBorders>
            <w:shd w:val="clear" w:color="auto" w:fill="auto"/>
            <w:vAlign w:val="center"/>
            <w:hideMark/>
          </w:tcPr>
          <w:p w14:paraId="359664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14DB4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46BBD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23.5. Generowanie raportów dotyczących tematów, kosztów i uczestników szkoleń dla poszczególnych pracowników / działów, w określonych przedziałach czasu,</w:t>
            </w:r>
          </w:p>
        </w:tc>
        <w:tc>
          <w:tcPr>
            <w:tcW w:w="850" w:type="dxa"/>
            <w:tcBorders>
              <w:top w:val="nil"/>
              <w:left w:val="nil"/>
              <w:bottom w:val="single" w:sz="8" w:space="0" w:color="auto"/>
              <w:right w:val="single" w:sz="8" w:space="0" w:color="auto"/>
            </w:tcBorders>
            <w:shd w:val="clear" w:color="auto" w:fill="auto"/>
            <w:vAlign w:val="center"/>
            <w:hideMark/>
          </w:tcPr>
          <w:p w14:paraId="52A201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124A43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2D96F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23.6. Możliwość tworzenia planu szkoleń, prowadzenia budżetu szkoleniowego,</w:t>
            </w:r>
          </w:p>
        </w:tc>
        <w:tc>
          <w:tcPr>
            <w:tcW w:w="850" w:type="dxa"/>
            <w:tcBorders>
              <w:top w:val="nil"/>
              <w:left w:val="nil"/>
              <w:bottom w:val="single" w:sz="8" w:space="0" w:color="auto"/>
              <w:right w:val="single" w:sz="8" w:space="0" w:color="auto"/>
            </w:tcBorders>
            <w:shd w:val="clear" w:color="auto" w:fill="auto"/>
            <w:vAlign w:val="center"/>
            <w:hideMark/>
          </w:tcPr>
          <w:p w14:paraId="6B04C5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207E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BD612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23.7. Umowa lojalnościowa (szablon).</w:t>
            </w:r>
          </w:p>
        </w:tc>
        <w:tc>
          <w:tcPr>
            <w:tcW w:w="850" w:type="dxa"/>
            <w:tcBorders>
              <w:top w:val="nil"/>
              <w:left w:val="nil"/>
              <w:bottom w:val="single" w:sz="8" w:space="0" w:color="auto"/>
              <w:right w:val="single" w:sz="8" w:space="0" w:color="auto"/>
            </w:tcBorders>
            <w:shd w:val="clear" w:color="auto" w:fill="auto"/>
            <w:vAlign w:val="center"/>
            <w:hideMark/>
          </w:tcPr>
          <w:p w14:paraId="2D44AF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CA1B8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94D1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Kwalifikacje:</w:t>
            </w:r>
          </w:p>
        </w:tc>
        <w:tc>
          <w:tcPr>
            <w:tcW w:w="850" w:type="dxa"/>
            <w:tcBorders>
              <w:top w:val="nil"/>
              <w:left w:val="nil"/>
              <w:bottom w:val="single" w:sz="8" w:space="0" w:color="auto"/>
              <w:right w:val="single" w:sz="8" w:space="0" w:color="auto"/>
            </w:tcBorders>
            <w:shd w:val="clear" w:color="000000" w:fill="A6A6A6"/>
            <w:vAlign w:val="center"/>
            <w:hideMark/>
          </w:tcPr>
          <w:p w14:paraId="5431FC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2DA523F" w14:textId="77777777" w:rsidTr="00B97E7A">
        <w:trPr>
          <w:trHeight w:val="7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1CE58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24.1. Możliwość rejestracji posiadanych kwalifikacji i przypisania ich celem pogrupowania (możliwość rozszerzania słownika) tj.:</w:t>
            </w:r>
            <w:r w:rsidRPr="00B97E7A">
              <w:rPr>
                <w:rFonts w:ascii="Times New Roman" w:eastAsia="Times New Roman" w:hAnsi="Times New Roman" w:cs="Times New Roman"/>
                <w:kern w:val="0"/>
                <w:sz w:val="28"/>
                <w:szCs w:val="28"/>
                <w:lang w:eastAsia="pl-PL"/>
                <w14:ligatures w14:val="none"/>
              </w:rPr>
              <w:br/>
              <w:t>- Dozór/Eksploatacja urządzeń, instalacji i sieci, z podziałem na 3 grupy: elektroenergetyczne/wytwarzające ciepło/gazowe, z podziałem na zakresy tj. obsługa, konserwacja, remonty, montaż, kontrolno-pomiarowe ze wszystkimi poziomami,</w:t>
            </w:r>
            <w:r w:rsidRPr="00B97E7A">
              <w:rPr>
                <w:rFonts w:ascii="Times New Roman" w:eastAsia="Times New Roman" w:hAnsi="Times New Roman" w:cs="Times New Roman"/>
                <w:kern w:val="0"/>
                <w:sz w:val="28"/>
                <w:szCs w:val="28"/>
                <w:lang w:eastAsia="pl-PL"/>
                <w14:ligatures w14:val="none"/>
              </w:rPr>
              <w:br/>
              <w:t>- Obsługa urządzeń transportu bliskiego, koparko-ładowarek, wózków jezdniowych, dźwignic, suwnic (rodzaje),</w:t>
            </w:r>
            <w:r w:rsidRPr="00B97E7A">
              <w:rPr>
                <w:rFonts w:ascii="Times New Roman" w:eastAsia="Times New Roman" w:hAnsi="Times New Roman" w:cs="Times New Roman"/>
                <w:kern w:val="0"/>
                <w:sz w:val="28"/>
                <w:szCs w:val="28"/>
                <w:lang w:eastAsia="pl-PL"/>
                <w14:ligatures w14:val="none"/>
              </w:rPr>
              <w:br/>
              <w:t>- ADR - przewóz materiałów niebezpiecznych, urządzeń do napełniania i opróżniania zbiorników transportowych,</w:t>
            </w:r>
            <w:r w:rsidRPr="00B97E7A">
              <w:rPr>
                <w:rFonts w:ascii="Times New Roman" w:eastAsia="Times New Roman" w:hAnsi="Times New Roman" w:cs="Times New Roman"/>
                <w:kern w:val="0"/>
                <w:sz w:val="28"/>
                <w:szCs w:val="28"/>
                <w:lang w:eastAsia="pl-PL"/>
                <w14:ligatures w14:val="none"/>
              </w:rPr>
              <w:br/>
              <w:t>- Uprawnienia kierowców różnych praw jazdy; Diagnosta w zakresie badań technicznych pojazdów,</w:t>
            </w:r>
            <w:r w:rsidRPr="00B97E7A">
              <w:rPr>
                <w:rFonts w:ascii="Times New Roman" w:eastAsia="Times New Roman" w:hAnsi="Times New Roman" w:cs="Times New Roman"/>
                <w:kern w:val="0"/>
                <w:sz w:val="28"/>
                <w:szCs w:val="28"/>
                <w:lang w:eastAsia="pl-PL"/>
                <w14:ligatures w14:val="none"/>
              </w:rPr>
              <w:br/>
              <w:t>- Uprawnienia budowlane do kierowania/ projektowania,</w:t>
            </w:r>
            <w:r w:rsidRPr="00B97E7A">
              <w:rPr>
                <w:rFonts w:ascii="Times New Roman" w:eastAsia="Times New Roman" w:hAnsi="Times New Roman" w:cs="Times New Roman"/>
                <w:kern w:val="0"/>
                <w:sz w:val="28"/>
                <w:szCs w:val="28"/>
                <w:lang w:eastAsia="pl-PL"/>
                <w14:ligatures w14:val="none"/>
              </w:rPr>
              <w:br/>
              <w:t>- Uprawnienia geologiczne,</w:t>
            </w:r>
            <w:r w:rsidRPr="00B97E7A">
              <w:rPr>
                <w:rFonts w:ascii="Times New Roman" w:eastAsia="Times New Roman" w:hAnsi="Times New Roman" w:cs="Times New Roman"/>
                <w:kern w:val="0"/>
                <w:sz w:val="28"/>
                <w:szCs w:val="28"/>
                <w:lang w:eastAsia="pl-PL"/>
                <w14:ligatures w14:val="none"/>
              </w:rPr>
              <w:br/>
              <w:t>- Aplikacja radcowska,</w:t>
            </w:r>
            <w:r w:rsidRPr="00B97E7A">
              <w:rPr>
                <w:rFonts w:ascii="Times New Roman" w:eastAsia="Times New Roman" w:hAnsi="Times New Roman" w:cs="Times New Roman"/>
                <w:kern w:val="0"/>
                <w:sz w:val="28"/>
                <w:szCs w:val="28"/>
                <w:lang w:eastAsia="pl-PL"/>
                <w14:ligatures w14:val="none"/>
              </w:rPr>
              <w:br/>
              <w:t>- Certyfikacja w zawodzie księgowego (stopnie: księgowy, specjalista ds. rachunkowości, główny księgowy, dyplomowany księgowy),</w:t>
            </w:r>
            <w:r w:rsidRPr="00B97E7A">
              <w:rPr>
                <w:rFonts w:ascii="Times New Roman" w:eastAsia="Times New Roman" w:hAnsi="Times New Roman" w:cs="Times New Roman"/>
                <w:kern w:val="0"/>
                <w:sz w:val="28"/>
                <w:szCs w:val="28"/>
                <w:lang w:eastAsia="pl-PL"/>
                <w14:ligatures w14:val="none"/>
              </w:rPr>
              <w:br/>
              <w:t>- Uprawnienia spawalnicze, obsługa pił, zagęszczarek, ubijaków, przecinarek do nawierzchni dróg, narzędzi udarowych, zgrzewania rur,</w:t>
            </w:r>
            <w:r w:rsidRPr="00B97E7A">
              <w:rPr>
                <w:rFonts w:ascii="Times New Roman" w:eastAsia="Times New Roman" w:hAnsi="Times New Roman" w:cs="Times New Roman"/>
                <w:kern w:val="0"/>
                <w:sz w:val="28"/>
                <w:szCs w:val="28"/>
                <w:lang w:eastAsia="pl-PL"/>
                <w14:ligatures w14:val="none"/>
              </w:rPr>
              <w:br/>
              <w:t>- Inspektorów ochrony przeciwpożarowej,</w:t>
            </w:r>
            <w:r w:rsidRPr="00B97E7A">
              <w:rPr>
                <w:rFonts w:ascii="Times New Roman" w:eastAsia="Times New Roman" w:hAnsi="Times New Roman" w:cs="Times New Roman"/>
                <w:kern w:val="0"/>
                <w:sz w:val="28"/>
                <w:szCs w:val="28"/>
                <w:lang w:eastAsia="pl-PL"/>
                <w14:ligatures w14:val="none"/>
              </w:rPr>
              <w:br/>
              <w:t>- Wykształcenie; inne uprawnienia zawodowe</w:t>
            </w:r>
          </w:p>
        </w:tc>
        <w:tc>
          <w:tcPr>
            <w:tcW w:w="850" w:type="dxa"/>
            <w:tcBorders>
              <w:top w:val="nil"/>
              <w:left w:val="nil"/>
              <w:bottom w:val="single" w:sz="8" w:space="0" w:color="auto"/>
              <w:right w:val="single" w:sz="8" w:space="0" w:color="auto"/>
            </w:tcBorders>
            <w:shd w:val="clear" w:color="auto" w:fill="auto"/>
            <w:vAlign w:val="center"/>
            <w:hideMark/>
          </w:tcPr>
          <w:p w14:paraId="069EBD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CF15DB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91EFB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24.2. Dane ze starej Kartoteki Kwalifikacji (dostęp do danych z lat ubiegłych),</w:t>
            </w:r>
          </w:p>
        </w:tc>
        <w:tc>
          <w:tcPr>
            <w:tcW w:w="850" w:type="dxa"/>
            <w:tcBorders>
              <w:top w:val="nil"/>
              <w:left w:val="nil"/>
              <w:bottom w:val="single" w:sz="8" w:space="0" w:color="auto"/>
              <w:right w:val="single" w:sz="8" w:space="0" w:color="auto"/>
            </w:tcBorders>
            <w:shd w:val="clear" w:color="auto" w:fill="auto"/>
            <w:vAlign w:val="center"/>
            <w:hideMark/>
          </w:tcPr>
          <w:p w14:paraId="65A599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C561C1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A4E2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24.3. Pola: data obowiązywania, organizator, nr wydanego zaświadczenia (dokument do wyboru),</w:t>
            </w:r>
          </w:p>
        </w:tc>
        <w:tc>
          <w:tcPr>
            <w:tcW w:w="850" w:type="dxa"/>
            <w:tcBorders>
              <w:top w:val="nil"/>
              <w:left w:val="nil"/>
              <w:bottom w:val="single" w:sz="8" w:space="0" w:color="auto"/>
              <w:right w:val="single" w:sz="8" w:space="0" w:color="auto"/>
            </w:tcBorders>
            <w:shd w:val="clear" w:color="auto" w:fill="auto"/>
            <w:vAlign w:val="center"/>
            <w:hideMark/>
          </w:tcPr>
          <w:p w14:paraId="3A871C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2B3C5F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7FFE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24.4. Alert o upływającej dacie ważności kwalifikacji,</w:t>
            </w:r>
          </w:p>
        </w:tc>
        <w:tc>
          <w:tcPr>
            <w:tcW w:w="850" w:type="dxa"/>
            <w:tcBorders>
              <w:top w:val="nil"/>
              <w:left w:val="nil"/>
              <w:bottom w:val="single" w:sz="8" w:space="0" w:color="auto"/>
              <w:right w:val="single" w:sz="8" w:space="0" w:color="auto"/>
            </w:tcBorders>
            <w:shd w:val="clear" w:color="auto" w:fill="auto"/>
            <w:vAlign w:val="center"/>
            <w:hideMark/>
          </w:tcPr>
          <w:p w14:paraId="4F455A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115E37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BF1E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24.5. Możliwość rejestracji stanu realizacji umowy lojalnościowej (termin płatności każdej z rat dofinansowania, informacja o dacie zakończenia okresu odpracowania zobowiązania pracownika,</w:t>
            </w:r>
          </w:p>
        </w:tc>
        <w:tc>
          <w:tcPr>
            <w:tcW w:w="850" w:type="dxa"/>
            <w:tcBorders>
              <w:top w:val="nil"/>
              <w:left w:val="nil"/>
              <w:bottom w:val="single" w:sz="8" w:space="0" w:color="auto"/>
              <w:right w:val="single" w:sz="8" w:space="0" w:color="auto"/>
            </w:tcBorders>
            <w:shd w:val="clear" w:color="auto" w:fill="auto"/>
            <w:vAlign w:val="center"/>
            <w:hideMark/>
          </w:tcPr>
          <w:p w14:paraId="7FF0B9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6E60AF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C32F6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24.6. Generowanie raportów dotyczących rodzajów kwalifikacji dla pracownika / działów,</w:t>
            </w:r>
          </w:p>
        </w:tc>
        <w:tc>
          <w:tcPr>
            <w:tcW w:w="850" w:type="dxa"/>
            <w:tcBorders>
              <w:top w:val="nil"/>
              <w:left w:val="nil"/>
              <w:bottom w:val="single" w:sz="8" w:space="0" w:color="auto"/>
              <w:right w:val="single" w:sz="8" w:space="0" w:color="auto"/>
            </w:tcBorders>
            <w:shd w:val="clear" w:color="auto" w:fill="auto"/>
            <w:vAlign w:val="center"/>
            <w:hideMark/>
          </w:tcPr>
          <w:p w14:paraId="0DFE7BF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1200BB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3EAE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24.7. Możliwość wprowadzenia danych dotyczących odznaczeń dla pracownika.</w:t>
            </w:r>
          </w:p>
        </w:tc>
        <w:tc>
          <w:tcPr>
            <w:tcW w:w="850" w:type="dxa"/>
            <w:tcBorders>
              <w:top w:val="nil"/>
              <w:left w:val="nil"/>
              <w:bottom w:val="single" w:sz="8" w:space="0" w:color="auto"/>
              <w:right w:val="single" w:sz="8" w:space="0" w:color="auto"/>
            </w:tcBorders>
            <w:shd w:val="clear" w:color="auto" w:fill="auto"/>
            <w:vAlign w:val="center"/>
            <w:hideMark/>
          </w:tcPr>
          <w:p w14:paraId="69B71E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B79277F" w14:textId="77777777" w:rsidTr="00B97E7A">
        <w:trPr>
          <w:trHeight w:val="78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6F436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e-teczki.</w:t>
            </w:r>
          </w:p>
        </w:tc>
        <w:tc>
          <w:tcPr>
            <w:tcW w:w="850" w:type="dxa"/>
            <w:tcBorders>
              <w:top w:val="nil"/>
              <w:left w:val="nil"/>
              <w:bottom w:val="single" w:sz="8" w:space="0" w:color="auto"/>
              <w:right w:val="single" w:sz="8" w:space="0" w:color="auto"/>
            </w:tcBorders>
            <w:shd w:val="clear" w:color="auto" w:fill="auto"/>
            <w:vAlign w:val="center"/>
            <w:hideMark/>
          </w:tcPr>
          <w:p w14:paraId="087995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41A699A9"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ED05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26. Portal Pracownika umożliwiający samodzielne, w sposób intuicyjny odczytywanie z systemu kadrowego danych przypisanych do pracownika (możliwość wyboru przez uprawnionego użytkownika systemu zakresu danych umieszczanych w Portalu).</w:t>
            </w:r>
          </w:p>
        </w:tc>
        <w:tc>
          <w:tcPr>
            <w:tcW w:w="850" w:type="dxa"/>
            <w:tcBorders>
              <w:top w:val="nil"/>
              <w:left w:val="nil"/>
              <w:bottom w:val="single" w:sz="8" w:space="0" w:color="auto"/>
              <w:right w:val="single" w:sz="8" w:space="0" w:color="auto"/>
            </w:tcBorders>
            <w:shd w:val="clear" w:color="auto" w:fill="auto"/>
            <w:vAlign w:val="center"/>
            <w:hideMark/>
          </w:tcPr>
          <w:p w14:paraId="6D03B0E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3F31E35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61B91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Portal Przełożonego - (możliwość wyboru przez uprawnionego użytkownika systemu zakresu danych umieszczanych w Portalu).</w:t>
            </w:r>
          </w:p>
        </w:tc>
        <w:tc>
          <w:tcPr>
            <w:tcW w:w="850" w:type="dxa"/>
            <w:tcBorders>
              <w:top w:val="nil"/>
              <w:left w:val="nil"/>
              <w:bottom w:val="single" w:sz="8" w:space="0" w:color="auto"/>
              <w:right w:val="single" w:sz="8" w:space="0" w:color="auto"/>
            </w:tcBorders>
            <w:shd w:val="clear" w:color="auto" w:fill="auto"/>
            <w:vAlign w:val="center"/>
            <w:hideMark/>
          </w:tcPr>
          <w:p w14:paraId="5306993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58CF40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EAAE0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Moduł czas pracy</w:t>
            </w:r>
          </w:p>
        </w:tc>
        <w:tc>
          <w:tcPr>
            <w:tcW w:w="850" w:type="dxa"/>
            <w:tcBorders>
              <w:top w:val="nil"/>
              <w:left w:val="nil"/>
              <w:bottom w:val="single" w:sz="8" w:space="0" w:color="auto"/>
              <w:right w:val="single" w:sz="8" w:space="0" w:color="auto"/>
            </w:tcBorders>
            <w:shd w:val="clear" w:color="000000" w:fill="A6A6A6"/>
            <w:vAlign w:val="center"/>
            <w:hideMark/>
          </w:tcPr>
          <w:p w14:paraId="012362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A03253D"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7B0D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Konfiguracja kalendarzy:</w:t>
            </w:r>
            <w:r w:rsidRPr="00B97E7A">
              <w:rPr>
                <w:rFonts w:ascii="Times New Roman" w:eastAsia="Times New Roman" w:hAnsi="Times New Roman" w:cs="Times New Roman"/>
                <w:kern w:val="0"/>
                <w:sz w:val="28"/>
                <w:szCs w:val="28"/>
                <w:lang w:eastAsia="pl-PL"/>
                <w14:ligatures w14:val="none"/>
              </w:rPr>
              <w:br/>
              <w:t>1.1. Możliwość zdefiniowania wielu kalendarzy,</w:t>
            </w:r>
            <w:r w:rsidRPr="00B97E7A">
              <w:rPr>
                <w:rFonts w:ascii="Times New Roman" w:eastAsia="Times New Roman" w:hAnsi="Times New Roman" w:cs="Times New Roman"/>
                <w:kern w:val="0"/>
                <w:sz w:val="28"/>
                <w:szCs w:val="28"/>
                <w:lang w:eastAsia="pl-PL"/>
                <w14:ligatures w14:val="none"/>
              </w:rPr>
              <w:br/>
              <w:t>1.2. Możliwość przypisania dozwolonych w kalendarzu wariantów czasu pracy,</w:t>
            </w:r>
            <w:r w:rsidRPr="00B97E7A">
              <w:rPr>
                <w:rFonts w:ascii="Times New Roman" w:eastAsia="Times New Roman" w:hAnsi="Times New Roman" w:cs="Times New Roman"/>
                <w:kern w:val="0"/>
                <w:sz w:val="28"/>
                <w:szCs w:val="28"/>
                <w:lang w:eastAsia="pl-PL"/>
                <w14:ligatures w14:val="none"/>
              </w:rPr>
              <w:br/>
              <w:t>1.3. Ustalanie domyślnego harmonogramu dla kalendarza.</w:t>
            </w:r>
          </w:p>
        </w:tc>
        <w:tc>
          <w:tcPr>
            <w:tcW w:w="850" w:type="dxa"/>
            <w:tcBorders>
              <w:top w:val="nil"/>
              <w:left w:val="nil"/>
              <w:bottom w:val="single" w:sz="8" w:space="0" w:color="auto"/>
              <w:right w:val="single" w:sz="8" w:space="0" w:color="auto"/>
            </w:tcBorders>
            <w:shd w:val="clear" w:color="auto" w:fill="auto"/>
            <w:vAlign w:val="center"/>
            <w:hideMark/>
          </w:tcPr>
          <w:p w14:paraId="4AB3AD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338D0E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B87A9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Harmonogramy czasu pracy (plany pracy):</w:t>
            </w:r>
          </w:p>
        </w:tc>
        <w:tc>
          <w:tcPr>
            <w:tcW w:w="850" w:type="dxa"/>
            <w:tcBorders>
              <w:top w:val="nil"/>
              <w:left w:val="nil"/>
              <w:bottom w:val="single" w:sz="8" w:space="0" w:color="auto"/>
              <w:right w:val="single" w:sz="8" w:space="0" w:color="auto"/>
            </w:tcBorders>
            <w:shd w:val="clear" w:color="000000" w:fill="A6A6A6"/>
            <w:vAlign w:val="center"/>
            <w:hideMark/>
          </w:tcPr>
          <w:p w14:paraId="6144B0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2893A8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B3F60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Możliwość przypisania pracownika do kalendarza od dowolnego dnia z zachowaniem historii przypisanych kalendarzy,</w:t>
            </w:r>
          </w:p>
        </w:tc>
        <w:tc>
          <w:tcPr>
            <w:tcW w:w="850" w:type="dxa"/>
            <w:tcBorders>
              <w:top w:val="nil"/>
              <w:left w:val="nil"/>
              <w:bottom w:val="single" w:sz="8" w:space="0" w:color="auto"/>
              <w:right w:val="single" w:sz="8" w:space="0" w:color="auto"/>
            </w:tcBorders>
            <w:shd w:val="clear" w:color="auto" w:fill="auto"/>
            <w:vAlign w:val="center"/>
            <w:hideMark/>
          </w:tcPr>
          <w:p w14:paraId="73F253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A361FF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9637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tworzenia/modyfikacji domyślnego harmonogramu pracownika z wykorzystaniem wyłącznie dostępnych w kalendarzu wariantów,</w:t>
            </w:r>
          </w:p>
        </w:tc>
        <w:tc>
          <w:tcPr>
            <w:tcW w:w="850" w:type="dxa"/>
            <w:tcBorders>
              <w:top w:val="nil"/>
              <w:left w:val="nil"/>
              <w:bottom w:val="single" w:sz="8" w:space="0" w:color="auto"/>
              <w:right w:val="single" w:sz="8" w:space="0" w:color="auto"/>
            </w:tcBorders>
            <w:shd w:val="clear" w:color="auto" w:fill="auto"/>
            <w:vAlign w:val="center"/>
            <w:hideMark/>
          </w:tcPr>
          <w:p w14:paraId="7ED2DB5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46673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75A5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przeglądania harmonogramów w zależności od posiadanych uprawnień,</w:t>
            </w:r>
          </w:p>
        </w:tc>
        <w:tc>
          <w:tcPr>
            <w:tcW w:w="850" w:type="dxa"/>
            <w:tcBorders>
              <w:top w:val="nil"/>
              <w:left w:val="nil"/>
              <w:bottom w:val="single" w:sz="8" w:space="0" w:color="auto"/>
              <w:right w:val="single" w:sz="8" w:space="0" w:color="auto"/>
            </w:tcBorders>
            <w:shd w:val="clear" w:color="auto" w:fill="auto"/>
            <w:vAlign w:val="center"/>
            <w:hideMark/>
          </w:tcPr>
          <w:p w14:paraId="01606D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5C0E155"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F1C0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sprawdzenia dla pracownika norm wynikających z rozliczeń czasu pracy (np. okres rozliczeniowy, ilość godzin do wypracowania wynikająca z normy dobowej etatu, ilość godzin do przepracowania w danym okresie, ile godzin pozostało do rozplanowania, ilość godzin do wypracowania w danym miesiącu),</w:t>
            </w:r>
          </w:p>
        </w:tc>
        <w:tc>
          <w:tcPr>
            <w:tcW w:w="850" w:type="dxa"/>
            <w:tcBorders>
              <w:top w:val="nil"/>
              <w:left w:val="nil"/>
              <w:bottom w:val="single" w:sz="8" w:space="0" w:color="auto"/>
              <w:right w:val="single" w:sz="8" w:space="0" w:color="auto"/>
            </w:tcBorders>
            <w:shd w:val="clear" w:color="auto" w:fill="auto"/>
            <w:vAlign w:val="center"/>
            <w:hideMark/>
          </w:tcPr>
          <w:p w14:paraId="03711F0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DDBC4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9148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Kontrola poprawności ułożonych harmonogramów pracy zgodnie z przepisami kodeksu pracy dla różnych systemów czasu pracy, np. kontrola odpoczynku dobowego i tygodniowego, itp.,</w:t>
            </w:r>
          </w:p>
        </w:tc>
        <w:tc>
          <w:tcPr>
            <w:tcW w:w="850" w:type="dxa"/>
            <w:tcBorders>
              <w:top w:val="nil"/>
              <w:left w:val="nil"/>
              <w:bottom w:val="single" w:sz="8" w:space="0" w:color="auto"/>
              <w:right w:val="single" w:sz="8" w:space="0" w:color="auto"/>
            </w:tcBorders>
            <w:shd w:val="clear" w:color="auto" w:fill="auto"/>
            <w:vAlign w:val="center"/>
            <w:hideMark/>
          </w:tcPr>
          <w:p w14:paraId="27A1DE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91F6E0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8DE09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Możliwość wydruku lub eksportu harmonogramu wybranych pracowników (np. z określonej komórki organizacyjnej) do pliku np. Word, Excel, PDF,</w:t>
            </w:r>
          </w:p>
        </w:tc>
        <w:tc>
          <w:tcPr>
            <w:tcW w:w="850" w:type="dxa"/>
            <w:tcBorders>
              <w:top w:val="nil"/>
              <w:left w:val="nil"/>
              <w:bottom w:val="single" w:sz="8" w:space="0" w:color="auto"/>
              <w:right w:val="single" w:sz="8" w:space="0" w:color="auto"/>
            </w:tcBorders>
            <w:shd w:val="clear" w:color="auto" w:fill="auto"/>
            <w:vAlign w:val="center"/>
            <w:hideMark/>
          </w:tcPr>
          <w:p w14:paraId="3DEDDC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9109CD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CC1E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Możliwość wprowadzania w dobie pracowniczej lub do końca okresu rozliczeniowego równoważonego odpoczynku niepłatnego (tylko przy nadgodzinach dot. awarii),</w:t>
            </w:r>
          </w:p>
        </w:tc>
        <w:tc>
          <w:tcPr>
            <w:tcW w:w="850" w:type="dxa"/>
            <w:tcBorders>
              <w:top w:val="nil"/>
              <w:left w:val="nil"/>
              <w:bottom w:val="single" w:sz="8" w:space="0" w:color="auto"/>
              <w:right w:val="single" w:sz="8" w:space="0" w:color="auto"/>
            </w:tcBorders>
            <w:shd w:val="clear" w:color="auto" w:fill="auto"/>
            <w:vAlign w:val="center"/>
            <w:hideMark/>
          </w:tcPr>
          <w:p w14:paraId="32C134B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A2D50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5C97D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Możliwość wprowadzania równoważnego odpoczynku pomniejszającego wymiar czasu pracy a nie wynagrodzenie (do wprowadzania tylko z poziomu Kadr),</w:t>
            </w:r>
          </w:p>
        </w:tc>
        <w:tc>
          <w:tcPr>
            <w:tcW w:w="850" w:type="dxa"/>
            <w:tcBorders>
              <w:top w:val="nil"/>
              <w:left w:val="nil"/>
              <w:bottom w:val="single" w:sz="8" w:space="0" w:color="auto"/>
              <w:right w:val="single" w:sz="8" w:space="0" w:color="auto"/>
            </w:tcBorders>
            <w:shd w:val="clear" w:color="auto" w:fill="auto"/>
            <w:vAlign w:val="center"/>
            <w:hideMark/>
          </w:tcPr>
          <w:p w14:paraId="743A5A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419635"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D3557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 Harmonogramy powinny uwzględniać:</w:t>
            </w:r>
            <w:r w:rsidRPr="00B97E7A">
              <w:rPr>
                <w:rFonts w:ascii="Times New Roman" w:eastAsia="Times New Roman" w:hAnsi="Times New Roman" w:cs="Times New Roman"/>
                <w:kern w:val="0"/>
                <w:sz w:val="28"/>
                <w:szCs w:val="28"/>
                <w:lang w:eastAsia="pl-PL"/>
                <w14:ligatures w14:val="none"/>
              </w:rPr>
              <w:br/>
              <w:t>3.1. obowiązujące pracownika normy czasu pracy,</w:t>
            </w:r>
            <w:r w:rsidRPr="00B97E7A">
              <w:rPr>
                <w:rFonts w:ascii="Times New Roman" w:eastAsia="Times New Roman" w:hAnsi="Times New Roman" w:cs="Times New Roman"/>
                <w:kern w:val="0"/>
                <w:sz w:val="28"/>
                <w:szCs w:val="28"/>
                <w:lang w:eastAsia="pl-PL"/>
                <w14:ligatures w14:val="none"/>
              </w:rPr>
              <w:br/>
              <w:t>3.2. godziny rozpoczęcia i zakończenia pracy,</w:t>
            </w:r>
            <w:r w:rsidRPr="00B97E7A">
              <w:rPr>
                <w:rFonts w:ascii="Times New Roman" w:eastAsia="Times New Roman" w:hAnsi="Times New Roman" w:cs="Times New Roman"/>
                <w:kern w:val="0"/>
                <w:sz w:val="28"/>
                <w:szCs w:val="28"/>
                <w:lang w:eastAsia="pl-PL"/>
                <w14:ligatures w14:val="none"/>
              </w:rPr>
              <w:br/>
              <w:t>3.3. odpoczynek dobowy i tygodniowy,</w:t>
            </w:r>
            <w:r w:rsidRPr="00B97E7A">
              <w:rPr>
                <w:rFonts w:ascii="Times New Roman" w:eastAsia="Times New Roman" w:hAnsi="Times New Roman" w:cs="Times New Roman"/>
                <w:kern w:val="0"/>
                <w:sz w:val="28"/>
                <w:szCs w:val="28"/>
                <w:lang w:eastAsia="pl-PL"/>
                <w14:ligatures w14:val="none"/>
              </w:rPr>
              <w:br/>
              <w:t>3.4. przeciętnie pięciodniowy tydzień pracy,</w:t>
            </w:r>
            <w:r w:rsidRPr="00B97E7A">
              <w:rPr>
                <w:rFonts w:ascii="Times New Roman" w:eastAsia="Times New Roman" w:hAnsi="Times New Roman" w:cs="Times New Roman"/>
                <w:kern w:val="0"/>
                <w:sz w:val="28"/>
                <w:szCs w:val="28"/>
                <w:lang w:eastAsia="pl-PL"/>
                <w14:ligatures w14:val="none"/>
              </w:rPr>
              <w:br/>
              <w:t>3.5. zakaz pracy w niedziele i święta (a gdy jest dozwolona praca w niedzielę – wyznaczenie jednej na 4 tygodnie niedzieli wolnej od pracy),</w:t>
            </w:r>
            <w:r w:rsidRPr="00B97E7A">
              <w:rPr>
                <w:rFonts w:ascii="Times New Roman" w:eastAsia="Times New Roman" w:hAnsi="Times New Roman" w:cs="Times New Roman"/>
                <w:kern w:val="0"/>
                <w:sz w:val="28"/>
                <w:szCs w:val="28"/>
                <w:lang w:eastAsia="pl-PL"/>
                <w14:ligatures w14:val="none"/>
              </w:rPr>
              <w:br/>
              <w:t>3.6. wykazanie, które dni w tygodniu pełnią rolę soboty, niedzieli i święta (dot. pracowników, dla których praca w kalendarzową sobotę, niedzielę i święto jest zwykłym dniem pracy).</w:t>
            </w:r>
          </w:p>
        </w:tc>
        <w:tc>
          <w:tcPr>
            <w:tcW w:w="850" w:type="dxa"/>
            <w:tcBorders>
              <w:top w:val="nil"/>
              <w:left w:val="nil"/>
              <w:bottom w:val="single" w:sz="8" w:space="0" w:color="auto"/>
              <w:right w:val="single" w:sz="8" w:space="0" w:color="auto"/>
            </w:tcBorders>
            <w:shd w:val="clear" w:color="auto" w:fill="auto"/>
            <w:vAlign w:val="center"/>
            <w:hideMark/>
          </w:tcPr>
          <w:p w14:paraId="4882B40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034CB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2C60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ustalania rozkładu czasu pracy indywidualnie dla każdego pracownika z możliwością zmiany rozkładu czasu pracy w środku tygodnia/miesiąca.</w:t>
            </w:r>
          </w:p>
        </w:tc>
        <w:tc>
          <w:tcPr>
            <w:tcW w:w="850" w:type="dxa"/>
            <w:tcBorders>
              <w:top w:val="nil"/>
              <w:left w:val="nil"/>
              <w:bottom w:val="single" w:sz="8" w:space="0" w:color="auto"/>
              <w:right w:val="single" w:sz="8" w:space="0" w:color="auto"/>
            </w:tcBorders>
            <w:shd w:val="clear" w:color="auto" w:fill="auto"/>
            <w:vAlign w:val="center"/>
            <w:hideMark/>
          </w:tcPr>
          <w:p w14:paraId="757AE72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A94882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A2D8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Automatyczne przeliczanie czasu pracy wszystkich pracowników po każdej zmianie harmonogramu czasu pracy.</w:t>
            </w:r>
          </w:p>
        </w:tc>
        <w:tc>
          <w:tcPr>
            <w:tcW w:w="850" w:type="dxa"/>
            <w:tcBorders>
              <w:top w:val="nil"/>
              <w:left w:val="nil"/>
              <w:bottom w:val="single" w:sz="8" w:space="0" w:color="auto"/>
              <w:right w:val="single" w:sz="8" w:space="0" w:color="auto"/>
            </w:tcBorders>
            <w:shd w:val="clear" w:color="auto" w:fill="auto"/>
            <w:vAlign w:val="center"/>
            <w:hideMark/>
          </w:tcPr>
          <w:p w14:paraId="164A470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5C427B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371B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Nadgodziny:</w:t>
            </w:r>
          </w:p>
        </w:tc>
        <w:tc>
          <w:tcPr>
            <w:tcW w:w="850" w:type="dxa"/>
            <w:tcBorders>
              <w:top w:val="nil"/>
              <w:left w:val="nil"/>
              <w:bottom w:val="single" w:sz="8" w:space="0" w:color="auto"/>
              <w:right w:val="single" w:sz="8" w:space="0" w:color="auto"/>
            </w:tcBorders>
            <w:shd w:val="clear" w:color="000000" w:fill="A6A6A6"/>
            <w:vAlign w:val="center"/>
            <w:hideMark/>
          </w:tcPr>
          <w:p w14:paraId="302BA7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5E485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348D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6.1. Nadgodziny dobowe i średniotygodniowe,</w:t>
            </w:r>
          </w:p>
        </w:tc>
        <w:tc>
          <w:tcPr>
            <w:tcW w:w="850" w:type="dxa"/>
            <w:tcBorders>
              <w:top w:val="nil"/>
              <w:left w:val="nil"/>
              <w:bottom w:val="single" w:sz="8" w:space="0" w:color="auto"/>
              <w:right w:val="single" w:sz="8" w:space="0" w:color="auto"/>
            </w:tcBorders>
            <w:shd w:val="clear" w:color="auto" w:fill="auto"/>
            <w:vAlign w:val="center"/>
            <w:hideMark/>
          </w:tcPr>
          <w:p w14:paraId="781698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100C5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E9BD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6.2. Podział nadgodzin na szczególne potrzeby pracodawcy i awarie,</w:t>
            </w:r>
          </w:p>
        </w:tc>
        <w:tc>
          <w:tcPr>
            <w:tcW w:w="850" w:type="dxa"/>
            <w:tcBorders>
              <w:top w:val="nil"/>
              <w:left w:val="nil"/>
              <w:bottom w:val="single" w:sz="8" w:space="0" w:color="auto"/>
              <w:right w:val="single" w:sz="8" w:space="0" w:color="auto"/>
            </w:tcBorders>
            <w:shd w:val="clear" w:color="auto" w:fill="auto"/>
            <w:vAlign w:val="center"/>
            <w:hideMark/>
          </w:tcPr>
          <w:p w14:paraId="7414EE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6A54A4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B6F2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 Limit nadgodzin (możliwość zaliczania do limitu nadgodzin dot. szczególnych potrzeb pracodawcy oraz nierozliczonych dniem wolnym za pracę w sobotę lub niedzielę i święto).</w:t>
            </w:r>
          </w:p>
        </w:tc>
        <w:tc>
          <w:tcPr>
            <w:tcW w:w="850" w:type="dxa"/>
            <w:tcBorders>
              <w:top w:val="nil"/>
              <w:left w:val="nil"/>
              <w:bottom w:val="single" w:sz="8" w:space="0" w:color="auto"/>
              <w:right w:val="single" w:sz="8" w:space="0" w:color="auto"/>
            </w:tcBorders>
            <w:shd w:val="clear" w:color="auto" w:fill="auto"/>
            <w:vAlign w:val="center"/>
            <w:hideMark/>
          </w:tcPr>
          <w:p w14:paraId="317D15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410862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1FAD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Rozliczanie nadgodzin wg normy zgodnej z planem pracy:</w:t>
            </w:r>
          </w:p>
        </w:tc>
        <w:tc>
          <w:tcPr>
            <w:tcW w:w="850" w:type="dxa"/>
            <w:tcBorders>
              <w:top w:val="nil"/>
              <w:left w:val="nil"/>
              <w:bottom w:val="single" w:sz="8" w:space="0" w:color="auto"/>
              <w:right w:val="single" w:sz="8" w:space="0" w:color="auto"/>
            </w:tcBorders>
            <w:shd w:val="clear" w:color="000000" w:fill="A6A6A6"/>
            <w:vAlign w:val="center"/>
            <w:hideMark/>
          </w:tcPr>
          <w:p w14:paraId="103DF5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162705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F64B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7.1. Możliwość sparametryzowania sposobu rozliczania nadgodzin,</w:t>
            </w:r>
          </w:p>
        </w:tc>
        <w:tc>
          <w:tcPr>
            <w:tcW w:w="850" w:type="dxa"/>
            <w:tcBorders>
              <w:top w:val="nil"/>
              <w:left w:val="nil"/>
              <w:bottom w:val="single" w:sz="8" w:space="0" w:color="auto"/>
              <w:right w:val="single" w:sz="8" w:space="0" w:color="auto"/>
            </w:tcBorders>
            <w:shd w:val="clear" w:color="auto" w:fill="auto"/>
            <w:vAlign w:val="center"/>
            <w:hideMark/>
          </w:tcPr>
          <w:p w14:paraId="1BB09C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A3DE7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7C5E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7.2. Bilansowanie w rozliczeniu nadgodzin wg normy zgodnej z planem pracy.</w:t>
            </w:r>
          </w:p>
        </w:tc>
        <w:tc>
          <w:tcPr>
            <w:tcW w:w="850" w:type="dxa"/>
            <w:tcBorders>
              <w:top w:val="nil"/>
              <w:left w:val="nil"/>
              <w:bottom w:val="single" w:sz="8" w:space="0" w:color="auto"/>
              <w:right w:val="single" w:sz="8" w:space="0" w:color="auto"/>
            </w:tcBorders>
            <w:shd w:val="clear" w:color="auto" w:fill="auto"/>
            <w:vAlign w:val="center"/>
            <w:hideMark/>
          </w:tcPr>
          <w:p w14:paraId="7646C9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CD5ECA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9A4D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Rozliczanie nadgodzin wg normy dobowej i normy średniotygodniowej:</w:t>
            </w:r>
          </w:p>
        </w:tc>
        <w:tc>
          <w:tcPr>
            <w:tcW w:w="850" w:type="dxa"/>
            <w:tcBorders>
              <w:top w:val="nil"/>
              <w:left w:val="nil"/>
              <w:bottom w:val="single" w:sz="8" w:space="0" w:color="auto"/>
              <w:right w:val="single" w:sz="8" w:space="0" w:color="auto"/>
            </w:tcBorders>
            <w:shd w:val="clear" w:color="000000" w:fill="A6A6A6"/>
            <w:vAlign w:val="center"/>
            <w:hideMark/>
          </w:tcPr>
          <w:p w14:paraId="53AA71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031780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E4A13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8.1. Możliwość sparametryzowania sposobu rozliczania nadgodzin,</w:t>
            </w:r>
          </w:p>
        </w:tc>
        <w:tc>
          <w:tcPr>
            <w:tcW w:w="850" w:type="dxa"/>
            <w:tcBorders>
              <w:top w:val="nil"/>
              <w:left w:val="nil"/>
              <w:bottom w:val="single" w:sz="8" w:space="0" w:color="auto"/>
              <w:right w:val="single" w:sz="8" w:space="0" w:color="auto"/>
            </w:tcBorders>
            <w:shd w:val="clear" w:color="auto" w:fill="auto"/>
            <w:vAlign w:val="center"/>
            <w:hideMark/>
          </w:tcPr>
          <w:p w14:paraId="6F0A10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79A85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D796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 Bilansowanie w rozliczeniu nadgodzin wg normy dobowej i średniotygodniowej.</w:t>
            </w:r>
          </w:p>
        </w:tc>
        <w:tc>
          <w:tcPr>
            <w:tcW w:w="850" w:type="dxa"/>
            <w:tcBorders>
              <w:top w:val="nil"/>
              <w:left w:val="nil"/>
              <w:bottom w:val="single" w:sz="8" w:space="0" w:color="auto"/>
              <w:right w:val="single" w:sz="8" w:space="0" w:color="auto"/>
            </w:tcBorders>
            <w:shd w:val="clear" w:color="auto" w:fill="auto"/>
            <w:vAlign w:val="center"/>
            <w:hideMark/>
          </w:tcPr>
          <w:p w14:paraId="4DC563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38E46D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3BA49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 Czas wolny za nadgodziny:</w:t>
            </w:r>
          </w:p>
        </w:tc>
        <w:tc>
          <w:tcPr>
            <w:tcW w:w="850" w:type="dxa"/>
            <w:tcBorders>
              <w:top w:val="nil"/>
              <w:left w:val="nil"/>
              <w:bottom w:val="single" w:sz="8" w:space="0" w:color="auto"/>
              <w:right w:val="single" w:sz="8" w:space="0" w:color="auto"/>
            </w:tcBorders>
            <w:shd w:val="clear" w:color="000000" w:fill="A6A6A6"/>
            <w:vAlign w:val="center"/>
            <w:hideMark/>
          </w:tcPr>
          <w:p w14:paraId="312500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B5B27C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3F85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9.1. Rekompensata za pracę w nadgodzinach – czasem wolnym,</w:t>
            </w:r>
          </w:p>
        </w:tc>
        <w:tc>
          <w:tcPr>
            <w:tcW w:w="850" w:type="dxa"/>
            <w:tcBorders>
              <w:top w:val="nil"/>
              <w:left w:val="nil"/>
              <w:bottom w:val="single" w:sz="8" w:space="0" w:color="auto"/>
              <w:right w:val="single" w:sz="8" w:space="0" w:color="auto"/>
            </w:tcBorders>
            <w:shd w:val="clear" w:color="auto" w:fill="auto"/>
            <w:vAlign w:val="center"/>
            <w:hideMark/>
          </w:tcPr>
          <w:p w14:paraId="03DE89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EFC891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1268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9.2. Możliwość sprawdzenia ilości czasu wolnego za nadgodziny jaki został odebrany oraz jaki pozostaje do odebrania,</w:t>
            </w:r>
          </w:p>
        </w:tc>
        <w:tc>
          <w:tcPr>
            <w:tcW w:w="850" w:type="dxa"/>
            <w:tcBorders>
              <w:top w:val="nil"/>
              <w:left w:val="nil"/>
              <w:bottom w:val="single" w:sz="8" w:space="0" w:color="auto"/>
              <w:right w:val="single" w:sz="8" w:space="0" w:color="auto"/>
            </w:tcBorders>
            <w:shd w:val="clear" w:color="auto" w:fill="auto"/>
            <w:vAlign w:val="center"/>
            <w:hideMark/>
          </w:tcPr>
          <w:p w14:paraId="342E4AE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E8C4C4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24E7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9.3. Rozliczanie zgodnie z Kartami Pracy nadgodzin, które miały być do odbioru, ale nie zostały odebrane w danym okresie </w:t>
            </w:r>
            <w:proofErr w:type="spellStart"/>
            <w:r w:rsidRPr="00B97E7A">
              <w:rPr>
                <w:rFonts w:ascii="Times New Roman" w:eastAsia="Times New Roman" w:hAnsi="Times New Roman" w:cs="Times New Roman"/>
                <w:kern w:val="0"/>
                <w:sz w:val="28"/>
                <w:szCs w:val="28"/>
                <w:lang w:eastAsia="pl-PL"/>
                <w14:ligatures w14:val="none"/>
              </w:rPr>
              <w:t>rozliczeniwym</w:t>
            </w:r>
            <w:proofErr w:type="spellEnd"/>
            <w:r w:rsidRPr="00B97E7A">
              <w:rPr>
                <w:rFonts w:ascii="Times New Roman" w:eastAsia="Times New Roman" w:hAnsi="Times New Roman" w:cs="Times New Roman"/>
                <w:kern w:val="0"/>
                <w:sz w:val="28"/>
                <w:szCs w:val="28"/>
                <w:lang w:eastAsia="pl-PL"/>
                <w14:ligatures w14:val="none"/>
              </w:rPr>
              <w:t>.</w:t>
            </w:r>
          </w:p>
        </w:tc>
        <w:tc>
          <w:tcPr>
            <w:tcW w:w="850" w:type="dxa"/>
            <w:tcBorders>
              <w:top w:val="nil"/>
              <w:left w:val="nil"/>
              <w:bottom w:val="single" w:sz="8" w:space="0" w:color="auto"/>
              <w:right w:val="single" w:sz="8" w:space="0" w:color="auto"/>
            </w:tcBorders>
            <w:shd w:val="clear" w:color="auto" w:fill="auto"/>
            <w:vAlign w:val="center"/>
            <w:hideMark/>
          </w:tcPr>
          <w:p w14:paraId="47CEAB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AB7C8C"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5729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Wydruki ewidencji czasu pracy:</w:t>
            </w:r>
            <w:r w:rsidRPr="00B97E7A">
              <w:rPr>
                <w:rFonts w:ascii="Times New Roman" w:eastAsia="Times New Roman" w:hAnsi="Times New Roman" w:cs="Times New Roman"/>
                <w:kern w:val="0"/>
                <w:sz w:val="28"/>
                <w:szCs w:val="28"/>
                <w:lang w:eastAsia="pl-PL"/>
                <w14:ligatures w14:val="none"/>
              </w:rPr>
              <w:br/>
              <w:t>10.1. Ewidencja czasu pracy,</w:t>
            </w:r>
            <w:r w:rsidRPr="00B97E7A">
              <w:rPr>
                <w:rFonts w:ascii="Times New Roman" w:eastAsia="Times New Roman" w:hAnsi="Times New Roman" w:cs="Times New Roman"/>
                <w:kern w:val="0"/>
                <w:sz w:val="28"/>
                <w:szCs w:val="28"/>
                <w:lang w:eastAsia="pl-PL"/>
                <w14:ligatures w14:val="none"/>
              </w:rPr>
              <w:br/>
              <w:t>10.2. Niezarejestrowany czas pracy,</w:t>
            </w:r>
            <w:r w:rsidRPr="00B97E7A">
              <w:rPr>
                <w:rFonts w:ascii="Times New Roman" w:eastAsia="Times New Roman" w:hAnsi="Times New Roman" w:cs="Times New Roman"/>
                <w:kern w:val="0"/>
                <w:sz w:val="28"/>
                <w:szCs w:val="28"/>
                <w:lang w:eastAsia="pl-PL"/>
                <w14:ligatures w14:val="none"/>
              </w:rPr>
              <w:br/>
              <w:t>10.3. Wykonanie harmonogramów,</w:t>
            </w:r>
            <w:r w:rsidRPr="00B97E7A">
              <w:rPr>
                <w:rFonts w:ascii="Times New Roman" w:eastAsia="Times New Roman" w:hAnsi="Times New Roman" w:cs="Times New Roman"/>
                <w:kern w:val="0"/>
                <w:sz w:val="28"/>
                <w:szCs w:val="28"/>
                <w:lang w:eastAsia="pl-PL"/>
                <w14:ligatures w14:val="none"/>
              </w:rPr>
              <w:br/>
              <w:t>10.4. Opłacone godziny/nadgodziny,</w:t>
            </w:r>
            <w:r w:rsidRPr="00B97E7A">
              <w:rPr>
                <w:rFonts w:ascii="Times New Roman" w:eastAsia="Times New Roman" w:hAnsi="Times New Roman" w:cs="Times New Roman"/>
                <w:kern w:val="0"/>
                <w:sz w:val="28"/>
                <w:szCs w:val="28"/>
                <w:lang w:eastAsia="pl-PL"/>
                <w14:ligatures w14:val="none"/>
              </w:rPr>
              <w:br/>
              <w:t>10.5. Rozliczenie czasu pracy po kwartale.</w:t>
            </w:r>
          </w:p>
        </w:tc>
        <w:tc>
          <w:tcPr>
            <w:tcW w:w="850" w:type="dxa"/>
            <w:tcBorders>
              <w:top w:val="nil"/>
              <w:left w:val="nil"/>
              <w:bottom w:val="single" w:sz="8" w:space="0" w:color="auto"/>
              <w:right w:val="single" w:sz="8" w:space="0" w:color="auto"/>
            </w:tcBorders>
            <w:shd w:val="clear" w:color="auto" w:fill="auto"/>
            <w:vAlign w:val="center"/>
            <w:hideMark/>
          </w:tcPr>
          <w:p w14:paraId="75CF52E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E7DE89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D5D5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Alerty (ostrzeżenie):</w:t>
            </w:r>
          </w:p>
        </w:tc>
        <w:tc>
          <w:tcPr>
            <w:tcW w:w="850" w:type="dxa"/>
            <w:tcBorders>
              <w:top w:val="nil"/>
              <w:left w:val="nil"/>
              <w:bottom w:val="single" w:sz="8" w:space="0" w:color="auto"/>
              <w:right w:val="single" w:sz="8" w:space="0" w:color="auto"/>
            </w:tcBorders>
            <w:shd w:val="clear" w:color="000000" w:fill="A6A6A6"/>
            <w:vAlign w:val="center"/>
            <w:hideMark/>
          </w:tcPr>
          <w:p w14:paraId="747097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2322A7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51192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Błędne rozliczenie czasu pracy (weryfikacja w trakcie wprowadzania kart pracy),</w:t>
            </w:r>
          </w:p>
        </w:tc>
        <w:tc>
          <w:tcPr>
            <w:tcW w:w="850" w:type="dxa"/>
            <w:tcBorders>
              <w:top w:val="nil"/>
              <w:left w:val="nil"/>
              <w:bottom w:val="single" w:sz="8" w:space="0" w:color="auto"/>
              <w:right w:val="single" w:sz="8" w:space="0" w:color="auto"/>
            </w:tcBorders>
            <w:shd w:val="clear" w:color="auto" w:fill="auto"/>
            <w:vAlign w:val="center"/>
            <w:hideMark/>
          </w:tcPr>
          <w:p w14:paraId="453F23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E1085E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93A3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Nadgodziny Kierownik (każda forma rekompensaty) – ostrzeżenie o naruszeniu,</w:t>
            </w:r>
          </w:p>
        </w:tc>
        <w:tc>
          <w:tcPr>
            <w:tcW w:w="850" w:type="dxa"/>
            <w:tcBorders>
              <w:top w:val="nil"/>
              <w:left w:val="nil"/>
              <w:bottom w:val="single" w:sz="8" w:space="0" w:color="auto"/>
              <w:right w:val="single" w:sz="8" w:space="0" w:color="auto"/>
            </w:tcBorders>
            <w:shd w:val="clear" w:color="auto" w:fill="auto"/>
            <w:vAlign w:val="center"/>
            <w:hideMark/>
          </w:tcPr>
          <w:p w14:paraId="2FE3B7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80D995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EDBDB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Brak rozliczenia soboty, niedzieli święta (przed zakończeniem okresu rozliczeniowego – tj. początek trzeciego m-ca kwartału).</w:t>
            </w:r>
          </w:p>
        </w:tc>
        <w:tc>
          <w:tcPr>
            <w:tcW w:w="850" w:type="dxa"/>
            <w:tcBorders>
              <w:top w:val="nil"/>
              <w:left w:val="nil"/>
              <w:bottom w:val="single" w:sz="8" w:space="0" w:color="auto"/>
              <w:right w:val="single" w:sz="8" w:space="0" w:color="auto"/>
            </w:tcBorders>
            <w:shd w:val="clear" w:color="auto" w:fill="auto"/>
            <w:vAlign w:val="center"/>
            <w:hideMark/>
          </w:tcPr>
          <w:p w14:paraId="3D94FF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5D2D9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C08974"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Działalność socjalna</w:t>
            </w:r>
            <w:r w:rsidRPr="00B97E7A">
              <w:rPr>
                <w:rFonts w:ascii="Times New Roman" w:eastAsia="Times New Roman" w:hAnsi="Times New Roman" w:cs="Times New Roman"/>
                <w:kern w:val="0"/>
                <w:sz w:val="28"/>
                <w:szCs w:val="28"/>
                <w:lang w:eastAsia="pl-PL"/>
                <w14:ligatures w14:val="none"/>
              </w:rPr>
              <w:t xml:space="preserve"> - w ramach ZFŚS w systemie będzie możliwe zdefiniowanie obsługi następujących świadczeń przyznawanych na podstawie wniosków pracowników/emerytów, wprowadzanych do systemu, kompatybilnych z danym świadczeniem oraz oświadczeniem o dochodzie:</w:t>
            </w:r>
          </w:p>
        </w:tc>
        <w:tc>
          <w:tcPr>
            <w:tcW w:w="850" w:type="dxa"/>
            <w:tcBorders>
              <w:top w:val="nil"/>
              <w:left w:val="nil"/>
              <w:bottom w:val="single" w:sz="8" w:space="0" w:color="auto"/>
              <w:right w:val="single" w:sz="8" w:space="0" w:color="auto"/>
            </w:tcBorders>
            <w:shd w:val="clear" w:color="000000" w:fill="A6A6A6"/>
            <w:vAlign w:val="center"/>
            <w:hideMark/>
          </w:tcPr>
          <w:p w14:paraId="616601B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628824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A9C3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Zapomogi bezzwrotne, świadczenia rzeczowe:</w:t>
            </w:r>
          </w:p>
        </w:tc>
        <w:tc>
          <w:tcPr>
            <w:tcW w:w="850" w:type="dxa"/>
            <w:tcBorders>
              <w:top w:val="nil"/>
              <w:left w:val="nil"/>
              <w:bottom w:val="single" w:sz="8" w:space="0" w:color="auto"/>
              <w:right w:val="single" w:sz="8" w:space="0" w:color="auto"/>
            </w:tcBorders>
            <w:shd w:val="clear" w:color="000000" w:fill="A6A6A6"/>
            <w:vAlign w:val="center"/>
            <w:hideMark/>
          </w:tcPr>
          <w:p w14:paraId="21CB7A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0B87839"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B1BCE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Zapomogi losowe – nieopodatkowane lub nielosowe opodatkowane według limitów zgodnych z przepisami, możliwość zdefiniowania zapomogi kwotowo i podania informacji na jaki cel została przyznana, możliwość zdefiniowania wydruków z zapomóg, na których niewidoczny będzie cel wypłaty zapomogi,</w:t>
            </w:r>
          </w:p>
        </w:tc>
        <w:tc>
          <w:tcPr>
            <w:tcW w:w="850" w:type="dxa"/>
            <w:tcBorders>
              <w:top w:val="nil"/>
              <w:left w:val="nil"/>
              <w:bottom w:val="single" w:sz="8" w:space="0" w:color="auto"/>
              <w:right w:val="single" w:sz="8" w:space="0" w:color="auto"/>
            </w:tcBorders>
            <w:shd w:val="clear" w:color="auto" w:fill="auto"/>
            <w:vAlign w:val="center"/>
            <w:hideMark/>
          </w:tcPr>
          <w:p w14:paraId="64CB924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744CC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E9244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zdefiniowania odpowiednich algorytmów rozliczania podatku dla pracowników i emerytów zgodnie z obowiązującymi przepisami,</w:t>
            </w:r>
          </w:p>
        </w:tc>
        <w:tc>
          <w:tcPr>
            <w:tcW w:w="850" w:type="dxa"/>
            <w:tcBorders>
              <w:top w:val="nil"/>
              <w:left w:val="nil"/>
              <w:bottom w:val="single" w:sz="8" w:space="0" w:color="auto"/>
              <w:right w:val="single" w:sz="8" w:space="0" w:color="auto"/>
            </w:tcBorders>
            <w:shd w:val="clear" w:color="auto" w:fill="auto"/>
            <w:vAlign w:val="center"/>
            <w:hideMark/>
          </w:tcPr>
          <w:p w14:paraId="5E20D4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503E9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B2DF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Możliwość wprowadzenia dowolnej ilości zapomóg,</w:t>
            </w:r>
          </w:p>
        </w:tc>
        <w:tc>
          <w:tcPr>
            <w:tcW w:w="850" w:type="dxa"/>
            <w:tcBorders>
              <w:top w:val="nil"/>
              <w:left w:val="nil"/>
              <w:bottom w:val="single" w:sz="8" w:space="0" w:color="auto"/>
              <w:right w:val="single" w:sz="8" w:space="0" w:color="auto"/>
            </w:tcBorders>
            <w:shd w:val="clear" w:color="auto" w:fill="auto"/>
            <w:vAlign w:val="center"/>
            <w:hideMark/>
          </w:tcPr>
          <w:p w14:paraId="5D376C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BCBE66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7E5E0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wypłaty zapomogi w kasie oraz przez przelew bankowy,</w:t>
            </w:r>
          </w:p>
        </w:tc>
        <w:tc>
          <w:tcPr>
            <w:tcW w:w="850" w:type="dxa"/>
            <w:tcBorders>
              <w:top w:val="nil"/>
              <w:left w:val="nil"/>
              <w:bottom w:val="single" w:sz="8" w:space="0" w:color="auto"/>
              <w:right w:val="single" w:sz="8" w:space="0" w:color="auto"/>
            </w:tcBorders>
            <w:shd w:val="clear" w:color="auto" w:fill="auto"/>
            <w:vAlign w:val="center"/>
            <w:hideMark/>
          </w:tcPr>
          <w:p w14:paraId="49EB1D3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3AF73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52ABB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Świadczenia rzeczowe, kulturalne, sportowe – opodatkowane zgodnie z przepisami,</w:t>
            </w:r>
          </w:p>
        </w:tc>
        <w:tc>
          <w:tcPr>
            <w:tcW w:w="850" w:type="dxa"/>
            <w:tcBorders>
              <w:top w:val="nil"/>
              <w:left w:val="nil"/>
              <w:bottom w:val="single" w:sz="8" w:space="0" w:color="auto"/>
              <w:right w:val="single" w:sz="8" w:space="0" w:color="auto"/>
            </w:tcBorders>
            <w:shd w:val="clear" w:color="auto" w:fill="auto"/>
            <w:vAlign w:val="center"/>
            <w:hideMark/>
          </w:tcPr>
          <w:p w14:paraId="5692BB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8E7DC78" w14:textId="77777777" w:rsidTr="00B97E7A">
        <w:trPr>
          <w:trHeight w:val="8192"/>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2AFA1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Wypoczynek:</w:t>
            </w:r>
            <w:r w:rsidRPr="00B97E7A">
              <w:rPr>
                <w:rFonts w:ascii="Times New Roman" w:eastAsia="Times New Roman" w:hAnsi="Times New Roman" w:cs="Times New Roman"/>
                <w:kern w:val="0"/>
                <w:sz w:val="28"/>
                <w:szCs w:val="28"/>
                <w:lang w:eastAsia="pl-PL"/>
                <w14:ligatures w14:val="none"/>
              </w:rPr>
              <w:br/>
              <w:t>2.1. Dofinansowanie wypoczynku tylko w sezonie letnim, raz na dwa lata (własny ośrodek), kolonie i ferie zimowe co roku z zastrzeżeniem, że dofinansowanie przysługuje dziecku na jedną formę wypoczynku w danym roku, „grusza” cały rok (min. 14 dni kalendarzowych), sanatorium (tylko emeryci, cały rok),</w:t>
            </w:r>
            <w:r w:rsidRPr="00B97E7A">
              <w:rPr>
                <w:rFonts w:ascii="Times New Roman" w:eastAsia="Times New Roman" w:hAnsi="Times New Roman" w:cs="Times New Roman"/>
                <w:kern w:val="0"/>
                <w:sz w:val="28"/>
                <w:szCs w:val="28"/>
                <w:lang w:eastAsia="pl-PL"/>
                <w14:ligatures w14:val="none"/>
              </w:rPr>
              <w:br/>
              <w:t>2.2. Możliwość rozbicia płatności za wypoczynek w ośrodku wypoczynkowym na raty – przez LP, możliwość dokonania płatności w kasie,</w:t>
            </w:r>
            <w:r w:rsidRPr="00B97E7A">
              <w:rPr>
                <w:rFonts w:ascii="Times New Roman" w:eastAsia="Times New Roman" w:hAnsi="Times New Roman" w:cs="Times New Roman"/>
                <w:kern w:val="0"/>
                <w:sz w:val="28"/>
                <w:szCs w:val="28"/>
                <w:lang w:eastAsia="pl-PL"/>
                <w14:ligatures w14:val="none"/>
              </w:rPr>
              <w:br/>
              <w:t>2.3. Wypoczynek pracownika – definiowalny z procentowym określeniem wysokości dofinansowania na podstawie dochodu wprowadzonego do systemu (procent wyliczany przez system), możliwość podziału na trzy raty odpłatności pracownika,</w:t>
            </w:r>
            <w:r w:rsidRPr="00B97E7A">
              <w:rPr>
                <w:rFonts w:ascii="Times New Roman" w:eastAsia="Times New Roman" w:hAnsi="Times New Roman" w:cs="Times New Roman"/>
                <w:kern w:val="0"/>
                <w:sz w:val="28"/>
                <w:szCs w:val="28"/>
                <w:lang w:eastAsia="pl-PL"/>
                <w14:ligatures w14:val="none"/>
              </w:rPr>
              <w:br/>
              <w:t>2.4. Wypoczynek dziecka pracownika – definiowalny z procentowym określeniem wysokości dofinansowania na podstawie dochodu wprowadzonego do systemu (procent wyliczany przez system),</w:t>
            </w:r>
            <w:r w:rsidRPr="00B97E7A">
              <w:rPr>
                <w:rFonts w:ascii="Times New Roman" w:eastAsia="Times New Roman" w:hAnsi="Times New Roman" w:cs="Times New Roman"/>
                <w:kern w:val="0"/>
                <w:sz w:val="28"/>
                <w:szCs w:val="28"/>
                <w:lang w:eastAsia="pl-PL"/>
                <w14:ligatures w14:val="none"/>
              </w:rPr>
              <w:br/>
              <w:t>2.5. Wypoczynek emerytów i rencistów – definiowalny z procentowym określeniem wysokości dofinansowania na podstawie dochodu wprowadzonego do systemu (procent wyliczany przez system),</w:t>
            </w:r>
            <w:r w:rsidRPr="00B97E7A">
              <w:rPr>
                <w:rFonts w:ascii="Times New Roman" w:eastAsia="Times New Roman" w:hAnsi="Times New Roman" w:cs="Times New Roman"/>
                <w:kern w:val="0"/>
                <w:sz w:val="28"/>
                <w:szCs w:val="28"/>
                <w:lang w:eastAsia="pl-PL"/>
                <w14:ligatures w14:val="none"/>
              </w:rPr>
              <w:br/>
              <w:t>2.6. Zorganizowany wypoczynek dla dzieci (kolonie) – definiowalny z procentowym określeniem wysokości dofinansowania na podstawie dochodu wprowadzonego do systemu (procent wyliczany przez system) oraz powiązania ze złożonym wnioskiem, możliwość podziału na trzy raty odpłatności pracownika, możliwość zmiany terminu płatności raty,</w:t>
            </w:r>
          </w:p>
        </w:tc>
        <w:tc>
          <w:tcPr>
            <w:tcW w:w="850" w:type="dxa"/>
            <w:tcBorders>
              <w:top w:val="nil"/>
              <w:left w:val="nil"/>
              <w:bottom w:val="single" w:sz="8" w:space="0" w:color="auto"/>
              <w:right w:val="single" w:sz="8" w:space="0" w:color="auto"/>
            </w:tcBorders>
            <w:shd w:val="clear" w:color="auto" w:fill="auto"/>
            <w:vAlign w:val="center"/>
            <w:hideMark/>
          </w:tcPr>
          <w:p w14:paraId="1EC8D03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8E04C6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0193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definiowania rodzajów dofinansowań. przez użytkownika.</w:t>
            </w:r>
          </w:p>
        </w:tc>
        <w:tc>
          <w:tcPr>
            <w:tcW w:w="850" w:type="dxa"/>
            <w:tcBorders>
              <w:top w:val="nil"/>
              <w:left w:val="nil"/>
              <w:bottom w:val="single" w:sz="8" w:space="0" w:color="auto"/>
              <w:right w:val="single" w:sz="8" w:space="0" w:color="auto"/>
            </w:tcBorders>
            <w:shd w:val="clear" w:color="auto" w:fill="auto"/>
            <w:vAlign w:val="center"/>
            <w:hideMark/>
          </w:tcPr>
          <w:p w14:paraId="6195BF7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102E88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DF8FB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Dofinansowanie do wypoczynku pracowników i dzieci pracowników musi być opodatkowane zgodnie obowiązującymi przepisami.</w:t>
            </w:r>
          </w:p>
        </w:tc>
        <w:tc>
          <w:tcPr>
            <w:tcW w:w="850" w:type="dxa"/>
            <w:tcBorders>
              <w:top w:val="nil"/>
              <w:left w:val="nil"/>
              <w:bottom w:val="single" w:sz="8" w:space="0" w:color="auto"/>
              <w:right w:val="single" w:sz="8" w:space="0" w:color="auto"/>
            </w:tcBorders>
            <w:shd w:val="clear" w:color="auto" w:fill="auto"/>
            <w:vAlign w:val="center"/>
            <w:hideMark/>
          </w:tcPr>
          <w:p w14:paraId="1E983A5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AD340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A07E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definiowania przez użytkownika różnych rodzajów dofinansowań i świadczeń rzeczowych (karty podarunkowe, działalność sportowa, rekreacyjna itp.).</w:t>
            </w:r>
          </w:p>
        </w:tc>
        <w:tc>
          <w:tcPr>
            <w:tcW w:w="850" w:type="dxa"/>
            <w:tcBorders>
              <w:top w:val="nil"/>
              <w:left w:val="nil"/>
              <w:bottom w:val="single" w:sz="8" w:space="0" w:color="auto"/>
              <w:right w:val="single" w:sz="8" w:space="0" w:color="auto"/>
            </w:tcBorders>
            <w:shd w:val="clear" w:color="auto" w:fill="auto"/>
            <w:vAlign w:val="center"/>
            <w:hideMark/>
          </w:tcPr>
          <w:p w14:paraId="631B48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A1ED60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B1BB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Możliwość grupowego wprowadzenia wniosków na dane świadczenie z możliwością ich późniejszej weryfikacji na podstawie podpisanych przez pracowników list.</w:t>
            </w:r>
          </w:p>
        </w:tc>
        <w:tc>
          <w:tcPr>
            <w:tcW w:w="850" w:type="dxa"/>
            <w:tcBorders>
              <w:top w:val="nil"/>
              <w:left w:val="nil"/>
              <w:bottom w:val="single" w:sz="8" w:space="0" w:color="auto"/>
              <w:right w:val="single" w:sz="8" w:space="0" w:color="auto"/>
            </w:tcBorders>
            <w:shd w:val="clear" w:color="auto" w:fill="auto"/>
            <w:vAlign w:val="center"/>
            <w:hideMark/>
          </w:tcPr>
          <w:p w14:paraId="18665D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5193BB9"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05265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Świadczenia świąteczne:</w:t>
            </w:r>
            <w:r w:rsidRPr="00B97E7A">
              <w:rPr>
                <w:rFonts w:ascii="Times New Roman" w:eastAsia="Times New Roman" w:hAnsi="Times New Roman" w:cs="Times New Roman"/>
                <w:kern w:val="0"/>
                <w:sz w:val="28"/>
                <w:szCs w:val="28"/>
                <w:lang w:eastAsia="pl-PL"/>
                <w14:ligatures w14:val="none"/>
              </w:rPr>
              <w:br/>
              <w:t>7.1. Możliwość ewidencjonowania i rozliczenia świadczeń świątecznych,</w:t>
            </w:r>
            <w:r w:rsidRPr="00B97E7A">
              <w:rPr>
                <w:rFonts w:ascii="Times New Roman" w:eastAsia="Times New Roman" w:hAnsi="Times New Roman" w:cs="Times New Roman"/>
                <w:kern w:val="0"/>
                <w:sz w:val="28"/>
                <w:szCs w:val="28"/>
                <w:lang w:eastAsia="pl-PL"/>
                <w14:ligatures w14:val="none"/>
              </w:rPr>
              <w:br/>
              <w:t>7.2. Świadczenia jak również podatek mają być ujęte w przychodach pracowników/emerytów w deklaracji podatkowej,</w:t>
            </w:r>
            <w:r w:rsidRPr="00B97E7A">
              <w:rPr>
                <w:rFonts w:ascii="Times New Roman" w:eastAsia="Times New Roman" w:hAnsi="Times New Roman" w:cs="Times New Roman"/>
                <w:kern w:val="0"/>
                <w:sz w:val="28"/>
                <w:szCs w:val="28"/>
                <w:lang w:eastAsia="pl-PL"/>
                <w14:ligatures w14:val="none"/>
              </w:rPr>
              <w:br/>
              <w:t>7.3. wypłaty świadczeń z działalności socjalnej muszą być możliwe do realizacji przez listę dodatkową,</w:t>
            </w:r>
            <w:r w:rsidRPr="00B97E7A">
              <w:rPr>
                <w:rFonts w:ascii="Times New Roman" w:eastAsia="Times New Roman" w:hAnsi="Times New Roman" w:cs="Times New Roman"/>
                <w:kern w:val="0"/>
                <w:sz w:val="28"/>
                <w:szCs w:val="28"/>
                <w:lang w:eastAsia="pl-PL"/>
                <w14:ligatures w14:val="none"/>
              </w:rPr>
              <w:br/>
              <w:t>7.4. pracownik musi mieć możliwość otrzymania świadczenia razem z wynagrodzeniem zasadniczym lub w kasie,</w:t>
            </w:r>
            <w:r w:rsidRPr="00B97E7A">
              <w:rPr>
                <w:rFonts w:ascii="Times New Roman" w:eastAsia="Times New Roman" w:hAnsi="Times New Roman" w:cs="Times New Roman"/>
                <w:kern w:val="0"/>
                <w:sz w:val="28"/>
                <w:szCs w:val="28"/>
                <w:lang w:eastAsia="pl-PL"/>
                <w14:ligatures w14:val="none"/>
              </w:rPr>
              <w:br/>
              <w:t>7.5. świadczenia do wypłaty w powiązaniu ze złożonym wnioskiem i oświadczeniem o dochodzie.</w:t>
            </w:r>
          </w:p>
        </w:tc>
        <w:tc>
          <w:tcPr>
            <w:tcW w:w="850" w:type="dxa"/>
            <w:tcBorders>
              <w:top w:val="nil"/>
              <w:left w:val="nil"/>
              <w:bottom w:val="single" w:sz="8" w:space="0" w:color="auto"/>
              <w:right w:val="single" w:sz="8" w:space="0" w:color="auto"/>
            </w:tcBorders>
            <w:shd w:val="clear" w:color="auto" w:fill="auto"/>
            <w:vAlign w:val="center"/>
            <w:hideMark/>
          </w:tcPr>
          <w:p w14:paraId="6C9D2EC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4BECFD"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150C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Karty podarunkowe dla dzieci ("Mikołaj"):</w:t>
            </w:r>
            <w:r w:rsidRPr="00B97E7A">
              <w:rPr>
                <w:rFonts w:ascii="Times New Roman" w:eastAsia="Times New Roman" w:hAnsi="Times New Roman" w:cs="Times New Roman"/>
                <w:kern w:val="0"/>
                <w:sz w:val="28"/>
                <w:szCs w:val="28"/>
                <w:lang w:eastAsia="pl-PL"/>
                <w14:ligatures w14:val="none"/>
              </w:rPr>
              <w:br/>
              <w:t>8.1. na wniosek pracownika,</w:t>
            </w:r>
            <w:r w:rsidRPr="00B97E7A">
              <w:rPr>
                <w:rFonts w:ascii="Times New Roman" w:eastAsia="Times New Roman" w:hAnsi="Times New Roman" w:cs="Times New Roman"/>
                <w:kern w:val="0"/>
                <w:sz w:val="28"/>
                <w:szCs w:val="28"/>
                <w:lang w:eastAsia="pl-PL"/>
                <w14:ligatures w14:val="none"/>
              </w:rPr>
              <w:br/>
              <w:t>8.2. w powiązaniu z dochodem,</w:t>
            </w:r>
            <w:r w:rsidRPr="00B97E7A">
              <w:rPr>
                <w:rFonts w:ascii="Times New Roman" w:eastAsia="Times New Roman" w:hAnsi="Times New Roman" w:cs="Times New Roman"/>
                <w:kern w:val="0"/>
                <w:sz w:val="28"/>
                <w:szCs w:val="28"/>
                <w:lang w:eastAsia="pl-PL"/>
                <w14:ligatures w14:val="none"/>
              </w:rPr>
              <w:br/>
              <w:t>8.3. z ograniczeniem wiekowym (np. 0-13 lat).</w:t>
            </w:r>
          </w:p>
        </w:tc>
        <w:tc>
          <w:tcPr>
            <w:tcW w:w="850" w:type="dxa"/>
            <w:tcBorders>
              <w:top w:val="nil"/>
              <w:left w:val="nil"/>
              <w:bottom w:val="single" w:sz="8" w:space="0" w:color="auto"/>
              <w:right w:val="single" w:sz="8" w:space="0" w:color="auto"/>
            </w:tcBorders>
            <w:shd w:val="clear" w:color="auto" w:fill="auto"/>
            <w:vAlign w:val="center"/>
            <w:hideMark/>
          </w:tcPr>
          <w:p w14:paraId="068EC5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644103"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CF82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Pożegnanie emeryta (wprowadzane w module FS, nie obciążające go, tj. wypłacane ze środków obrotowych):</w:t>
            </w:r>
            <w:r w:rsidRPr="00B97E7A">
              <w:rPr>
                <w:rFonts w:ascii="Times New Roman" w:eastAsia="Times New Roman" w:hAnsi="Times New Roman" w:cs="Times New Roman"/>
                <w:kern w:val="0"/>
                <w:sz w:val="28"/>
                <w:szCs w:val="28"/>
                <w:lang w:eastAsia="pl-PL"/>
                <w14:ligatures w14:val="none"/>
              </w:rPr>
              <w:br/>
              <w:t>9.1. świadczenie rzeczowe + grafika (liczone do limitu podatkowego E),</w:t>
            </w:r>
            <w:r w:rsidRPr="00B97E7A">
              <w:rPr>
                <w:rFonts w:ascii="Times New Roman" w:eastAsia="Times New Roman" w:hAnsi="Times New Roman" w:cs="Times New Roman"/>
                <w:kern w:val="0"/>
                <w:sz w:val="28"/>
                <w:szCs w:val="28"/>
                <w:lang w:eastAsia="pl-PL"/>
                <w14:ligatures w14:val="none"/>
              </w:rPr>
              <w:br/>
              <w:t>9.2. świadczenie pieniężne (liczone do limitu podatkowego E).</w:t>
            </w:r>
          </w:p>
        </w:tc>
        <w:tc>
          <w:tcPr>
            <w:tcW w:w="850" w:type="dxa"/>
            <w:tcBorders>
              <w:top w:val="nil"/>
              <w:left w:val="nil"/>
              <w:bottom w:val="single" w:sz="8" w:space="0" w:color="auto"/>
              <w:right w:val="single" w:sz="8" w:space="0" w:color="auto"/>
            </w:tcBorders>
            <w:shd w:val="clear" w:color="auto" w:fill="auto"/>
            <w:vAlign w:val="center"/>
            <w:hideMark/>
          </w:tcPr>
          <w:p w14:paraId="00C396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7ACA5E1"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1F11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Lista emerytów/rencistów – automatyczne nadanie statusu i uwzględnianie ich w poszczególnych grupach (powyżej progu ustalanego przez użytkownika systemu dopuszczalne przyznanie świadczenia w najniższej kwocie (ustalonej przez użytkownika systemu).</w:t>
            </w:r>
          </w:p>
        </w:tc>
        <w:tc>
          <w:tcPr>
            <w:tcW w:w="850" w:type="dxa"/>
            <w:tcBorders>
              <w:top w:val="nil"/>
              <w:left w:val="nil"/>
              <w:bottom w:val="single" w:sz="8" w:space="0" w:color="auto"/>
              <w:right w:val="single" w:sz="8" w:space="0" w:color="auto"/>
            </w:tcBorders>
            <w:shd w:val="clear" w:color="auto" w:fill="auto"/>
            <w:vAlign w:val="center"/>
            <w:hideMark/>
          </w:tcPr>
          <w:p w14:paraId="79DDA9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92E72F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64905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Klasyfikacja dofinansowań (przyporządkowywanie określonych kwot).</w:t>
            </w:r>
          </w:p>
        </w:tc>
        <w:tc>
          <w:tcPr>
            <w:tcW w:w="850" w:type="dxa"/>
            <w:tcBorders>
              <w:top w:val="nil"/>
              <w:left w:val="nil"/>
              <w:bottom w:val="single" w:sz="8" w:space="0" w:color="auto"/>
              <w:right w:val="single" w:sz="8" w:space="0" w:color="auto"/>
            </w:tcBorders>
            <w:shd w:val="clear" w:color="auto" w:fill="auto"/>
            <w:vAlign w:val="center"/>
            <w:hideMark/>
          </w:tcPr>
          <w:p w14:paraId="3E0321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659EC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FD0D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Pożyczki mieszkaniowe:</w:t>
            </w:r>
          </w:p>
        </w:tc>
        <w:tc>
          <w:tcPr>
            <w:tcW w:w="850" w:type="dxa"/>
            <w:tcBorders>
              <w:top w:val="nil"/>
              <w:left w:val="nil"/>
              <w:bottom w:val="single" w:sz="8" w:space="0" w:color="auto"/>
              <w:right w:val="single" w:sz="8" w:space="0" w:color="auto"/>
            </w:tcBorders>
            <w:shd w:val="clear" w:color="000000" w:fill="A6A6A6"/>
            <w:vAlign w:val="center"/>
            <w:hideMark/>
          </w:tcPr>
          <w:p w14:paraId="7807416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133C21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8A25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 Możliwość definiowania dowolnych rodzajów pożyczek i algorytmów naliczania odsetek,</w:t>
            </w:r>
          </w:p>
        </w:tc>
        <w:tc>
          <w:tcPr>
            <w:tcW w:w="850" w:type="dxa"/>
            <w:tcBorders>
              <w:top w:val="nil"/>
              <w:left w:val="nil"/>
              <w:bottom w:val="single" w:sz="8" w:space="0" w:color="auto"/>
              <w:right w:val="single" w:sz="8" w:space="0" w:color="auto"/>
            </w:tcBorders>
            <w:shd w:val="clear" w:color="auto" w:fill="auto"/>
            <w:vAlign w:val="center"/>
            <w:hideMark/>
          </w:tcPr>
          <w:p w14:paraId="00C499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37A31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A98ED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12.2. Ewidencja spłat udzielonych pożyczek (w tym również dla byłych pracowników),</w:t>
            </w:r>
          </w:p>
        </w:tc>
        <w:tc>
          <w:tcPr>
            <w:tcW w:w="850" w:type="dxa"/>
            <w:tcBorders>
              <w:top w:val="nil"/>
              <w:left w:val="nil"/>
              <w:bottom w:val="single" w:sz="8" w:space="0" w:color="auto"/>
              <w:right w:val="single" w:sz="8" w:space="0" w:color="auto"/>
            </w:tcBorders>
            <w:shd w:val="clear" w:color="auto" w:fill="auto"/>
            <w:vAlign w:val="center"/>
            <w:hideMark/>
          </w:tcPr>
          <w:p w14:paraId="48D908E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2BF3B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7822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12.3. Możliwość ewidencji planu spłaty pożyczki poprzez określenie harmonogramu spłat,</w:t>
            </w:r>
          </w:p>
        </w:tc>
        <w:tc>
          <w:tcPr>
            <w:tcW w:w="850" w:type="dxa"/>
            <w:tcBorders>
              <w:top w:val="nil"/>
              <w:left w:val="nil"/>
              <w:bottom w:val="single" w:sz="8" w:space="0" w:color="auto"/>
              <w:right w:val="single" w:sz="8" w:space="0" w:color="auto"/>
            </w:tcBorders>
            <w:shd w:val="clear" w:color="auto" w:fill="auto"/>
            <w:vAlign w:val="center"/>
            <w:hideMark/>
          </w:tcPr>
          <w:p w14:paraId="79E02D0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187059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3126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12.4. spłaty rat pożyczek mają odbywać się automatycznie poprzez listy płac. Ponadto musi istnieć możliwość zaewidencjonowania spłaty pożyczki poprzez kasę,</w:t>
            </w:r>
          </w:p>
        </w:tc>
        <w:tc>
          <w:tcPr>
            <w:tcW w:w="850" w:type="dxa"/>
            <w:tcBorders>
              <w:top w:val="nil"/>
              <w:left w:val="nil"/>
              <w:bottom w:val="single" w:sz="8" w:space="0" w:color="auto"/>
              <w:right w:val="single" w:sz="8" w:space="0" w:color="auto"/>
            </w:tcBorders>
            <w:shd w:val="clear" w:color="auto" w:fill="auto"/>
            <w:vAlign w:val="center"/>
            <w:hideMark/>
          </w:tcPr>
          <w:p w14:paraId="2DB0C51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21CBF7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EF19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12.5. W systemie ma być kontrolowana wysokość potrąceń rat pożyczki, do wysokości zadłużenia,</w:t>
            </w:r>
          </w:p>
        </w:tc>
        <w:tc>
          <w:tcPr>
            <w:tcW w:w="850" w:type="dxa"/>
            <w:tcBorders>
              <w:top w:val="nil"/>
              <w:left w:val="nil"/>
              <w:bottom w:val="single" w:sz="8" w:space="0" w:color="auto"/>
              <w:right w:val="single" w:sz="8" w:space="0" w:color="auto"/>
            </w:tcBorders>
            <w:shd w:val="clear" w:color="auto" w:fill="auto"/>
            <w:vAlign w:val="center"/>
            <w:hideMark/>
          </w:tcPr>
          <w:p w14:paraId="66A77A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28353E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E9F6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12.6. Możliwa ma być również zmiana wysokości rat pożyczki, zawieszenia czasowego spłaty raty pożyczki, umorzenie pożyczki, co ma stanowić przychód pracownika,</w:t>
            </w:r>
          </w:p>
        </w:tc>
        <w:tc>
          <w:tcPr>
            <w:tcW w:w="850" w:type="dxa"/>
            <w:tcBorders>
              <w:top w:val="nil"/>
              <w:left w:val="nil"/>
              <w:bottom w:val="single" w:sz="8" w:space="0" w:color="auto"/>
              <w:right w:val="single" w:sz="8" w:space="0" w:color="auto"/>
            </w:tcBorders>
            <w:shd w:val="clear" w:color="auto" w:fill="auto"/>
            <w:vAlign w:val="center"/>
            <w:hideMark/>
          </w:tcPr>
          <w:p w14:paraId="2190FE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72A28A9"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367A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12.7. Na podstawie udzielonych pożyczek, zaewidencjonowanych spłat automatycznych z listy płac oraz wprowadzonych w kasie system ma wyświetlać aktualne zadłużenie z tytułu pożyczki. Informacja ta ma być dostępna w module działalności socjalnej. System musi umożliwiać elastyczne definiowanie uprawnień również tak, aby wybrani użytkownicy np. modułu płacowego, Działu Księgowości mieli dostęp do modułu działalności socjalnej w określonym zakresie i nie może to wymuszać dodatkowego przelogowania się w systemie,</w:t>
            </w:r>
          </w:p>
        </w:tc>
        <w:tc>
          <w:tcPr>
            <w:tcW w:w="850" w:type="dxa"/>
            <w:tcBorders>
              <w:top w:val="nil"/>
              <w:left w:val="nil"/>
              <w:bottom w:val="single" w:sz="8" w:space="0" w:color="auto"/>
              <w:right w:val="single" w:sz="8" w:space="0" w:color="auto"/>
            </w:tcBorders>
            <w:shd w:val="clear" w:color="auto" w:fill="auto"/>
            <w:vAlign w:val="center"/>
            <w:hideMark/>
          </w:tcPr>
          <w:p w14:paraId="2BF7A96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09995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66B23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12.8. Określenie corocznej maksymalnej kwoty przewidzianej na jednostkową pożyczkę (automatyczna weryfikacja, brak możliwości przyznania wyższej kwoty),</w:t>
            </w:r>
          </w:p>
        </w:tc>
        <w:tc>
          <w:tcPr>
            <w:tcW w:w="850" w:type="dxa"/>
            <w:tcBorders>
              <w:top w:val="nil"/>
              <w:left w:val="nil"/>
              <w:bottom w:val="single" w:sz="8" w:space="0" w:color="auto"/>
              <w:right w:val="single" w:sz="8" w:space="0" w:color="auto"/>
            </w:tcBorders>
            <w:shd w:val="clear" w:color="auto" w:fill="auto"/>
            <w:vAlign w:val="center"/>
            <w:hideMark/>
          </w:tcPr>
          <w:p w14:paraId="09D095A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F57594B"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4D1D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12.9. Uwzględnienie informacji przy każdej z osób korzystających ze świadczenia/pożyczki o wysokości pożyczki, wysokości miesięcznej raty, kwocie i ratach pozostałych do spłaty (z uwzględnieniem możliwości spłaty poprzez potrącanie z wynagrodzenia/wpłaty bezpośredniej na konto),</w:t>
            </w:r>
          </w:p>
        </w:tc>
        <w:tc>
          <w:tcPr>
            <w:tcW w:w="850" w:type="dxa"/>
            <w:tcBorders>
              <w:top w:val="nil"/>
              <w:left w:val="nil"/>
              <w:bottom w:val="single" w:sz="8" w:space="0" w:color="auto"/>
              <w:right w:val="single" w:sz="8" w:space="0" w:color="auto"/>
            </w:tcBorders>
            <w:shd w:val="clear" w:color="auto" w:fill="auto"/>
            <w:vAlign w:val="center"/>
            <w:hideMark/>
          </w:tcPr>
          <w:p w14:paraId="5A77C1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5E5773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0974E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12.10. Rejestr poręczycieli (brak możliwości poręczenia pożyczki więcej niż dwóm pracownikom w okresie 3 lat),</w:t>
            </w:r>
          </w:p>
        </w:tc>
        <w:tc>
          <w:tcPr>
            <w:tcW w:w="850" w:type="dxa"/>
            <w:tcBorders>
              <w:top w:val="nil"/>
              <w:left w:val="nil"/>
              <w:bottom w:val="single" w:sz="8" w:space="0" w:color="auto"/>
              <w:right w:val="single" w:sz="8" w:space="0" w:color="auto"/>
            </w:tcBorders>
            <w:shd w:val="clear" w:color="auto" w:fill="auto"/>
            <w:vAlign w:val="center"/>
            <w:hideMark/>
          </w:tcPr>
          <w:p w14:paraId="26D78A6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8C045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1C7F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12.11. Poręczyciele muszą być osobami pracującymi na czas nieokreślony,</w:t>
            </w:r>
          </w:p>
        </w:tc>
        <w:tc>
          <w:tcPr>
            <w:tcW w:w="850" w:type="dxa"/>
            <w:tcBorders>
              <w:top w:val="nil"/>
              <w:left w:val="nil"/>
              <w:bottom w:val="single" w:sz="8" w:space="0" w:color="auto"/>
              <w:right w:val="single" w:sz="8" w:space="0" w:color="auto"/>
            </w:tcBorders>
            <w:shd w:val="clear" w:color="auto" w:fill="auto"/>
            <w:vAlign w:val="center"/>
            <w:hideMark/>
          </w:tcPr>
          <w:p w14:paraId="4365AC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A23A6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8F08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12.12. Rozliczanie byłych pracowników z pożyczek, kontrola spłaty pożyczki,</w:t>
            </w:r>
          </w:p>
        </w:tc>
        <w:tc>
          <w:tcPr>
            <w:tcW w:w="850" w:type="dxa"/>
            <w:tcBorders>
              <w:top w:val="nil"/>
              <w:left w:val="nil"/>
              <w:bottom w:val="single" w:sz="8" w:space="0" w:color="auto"/>
              <w:right w:val="single" w:sz="8" w:space="0" w:color="auto"/>
            </w:tcBorders>
            <w:shd w:val="clear" w:color="auto" w:fill="auto"/>
            <w:vAlign w:val="center"/>
            <w:hideMark/>
          </w:tcPr>
          <w:p w14:paraId="264A8A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88AFF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A76B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12.13. Termin zakończenia spłat pożyczki (stan zgodny z ewidencją płac i kasą, stanem rozrachunków),</w:t>
            </w:r>
          </w:p>
        </w:tc>
        <w:tc>
          <w:tcPr>
            <w:tcW w:w="850" w:type="dxa"/>
            <w:tcBorders>
              <w:top w:val="nil"/>
              <w:left w:val="nil"/>
              <w:bottom w:val="single" w:sz="8" w:space="0" w:color="auto"/>
              <w:right w:val="single" w:sz="8" w:space="0" w:color="auto"/>
            </w:tcBorders>
            <w:shd w:val="clear" w:color="auto" w:fill="auto"/>
            <w:vAlign w:val="center"/>
            <w:hideMark/>
          </w:tcPr>
          <w:p w14:paraId="67D488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CDA9FC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D38FE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12.14. Możliwość generowania umowy oraz załączników z systemu zgodnie ze zdefiniowanymi wzorcami, możliwymi do modyfikacji przez użytkowników.</w:t>
            </w:r>
          </w:p>
        </w:tc>
        <w:tc>
          <w:tcPr>
            <w:tcW w:w="850" w:type="dxa"/>
            <w:tcBorders>
              <w:top w:val="nil"/>
              <w:left w:val="nil"/>
              <w:bottom w:val="single" w:sz="8" w:space="0" w:color="auto"/>
              <w:right w:val="single" w:sz="8" w:space="0" w:color="auto"/>
            </w:tcBorders>
            <w:shd w:val="clear" w:color="auto" w:fill="auto"/>
            <w:vAlign w:val="center"/>
            <w:hideMark/>
          </w:tcPr>
          <w:p w14:paraId="6443EC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8FBA30F" w14:textId="77777777" w:rsidTr="00B97E7A">
        <w:trPr>
          <w:trHeight w:val="7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3173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Raporty:</w:t>
            </w:r>
            <w:r w:rsidRPr="00B97E7A">
              <w:rPr>
                <w:rFonts w:ascii="Times New Roman" w:eastAsia="Times New Roman" w:hAnsi="Times New Roman" w:cs="Times New Roman"/>
                <w:kern w:val="0"/>
                <w:sz w:val="28"/>
                <w:szCs w:val="28"/>
                <w:lang w:eastAsia="pl-PL"/>
                <w14:ligatures w14:val="none"/>
              </w:rPr>
              <w:br/>
              <w:t>13.1. O pożyczkach, wartość spłaty w danym miesiącu,</w:t>
            </w:r>
            <w:r w:rsidRPr="00B97E7A">
              <w:rPr>
                <w:rFonts w:ascii="Times New Roman" w:eastAsia="Times New Roman" w:hAnsi="Times New Roman" w:cs="Times New Roman"/>
                <w:kern w:val="0"/>
                <w:sz w:val="28"/>
                <w:szCs w:val="28"/>
                <w:lang w:eastAsia="pl-PL"/>
                <w14:ligatures w14:val="none"/>
              </w:rPr>
              <w:br/>
              <w:t>13.2. Udzielone zapomogi w okresie,</w:t>
            </w:r>
            <w:r w:rsidRPr="00B97E7A">
              <w:rPr>
                <w:rFonts w:ascii="Times New Roman" w:eastAsia="Times New Roman" w:hAnsi="Times New Roman" w:cs="Times New Roman"/>
                <w:kern w:val="0"/>
                <w:sz w:val="28"/>
                <w:szCs w:val="28"/>
                <w:lang w:eastAsia="pl-PL"/>
                <w14:ligatures w14:val="none"/>
              </w:rPr>
              <w:br/>
              <w:t>13.3. Udzielone dofinansowania do wypoczynku w okresie,</w:t>
            </w:r>
            <w:r w:rsidRPr="00B97E7A">
              <w:rPr>
                <w:rFonts w:ascii="Times New Roman" w:eastAsia="Times New Roman" w:hAnsi="Times New Roman" w:cs="Times New Roman"/>
                <w:kern w:val="0"/>
                <w:sz w:val="28"/>
                <w:szCs w:val="28"/>
                <w:lang w:eastAsia="pl-PL"/>
                <w14:ligatures w14:val="none"/>
              </w:rPr>
              <w:br/>
              <w:t>13.4. Lista pracowników, którzy skorzystali i nie skorzystali z dofinansowania do wypoczynku,</w:t>
            </w:r>
            <w:r w:rsidRPr="00B97E7A">
              <w:rPr>
                <w:rFonts w:ascii="Times New Roman" w:eastAsia="Times New Roman" w:hAnsi="Times New Roman" w:cs="Times New Roman"/>
                <w:kern w:val="0"/>
                <w:sz w:val="28"/>
                <w:szCs w:val="28"/>
                <w:lang w:eastAsia="pl-PL"/>
                <w14:ligatures w14:val="none"/>
              </w:rPr>
              <w:br/>
              <w:t>13.5. Lista osób, które złożyły wymagane wnioski, powiązanie ich z dochodem,</w:t>
            </w:r>
            <w:r w:rsidRPr="00B97E7A">
              <w:rPr>
                <w:rFonts w:ascii="Times New Roman" w:eastAsia="Times New Roman" w:hAnsi="Times New Roman" w:cs="Times New Roman"/>
                <w:kern w:val="0"/>
                <w:sz w:val="28"/>
                <w:szCs w:val="28"/>
                <w:lang w:eastAsia="pl-PL"/>
                <w14:ligatures w14:val="none"/>
              </w:rPr>
              <w:br/>
              <w:t>13.6. Lista uprawnionych do otrzymania świadczeń z Funduszu uwarunkowanych złożeniem wniosku i oświadczenia o dochodach,</w:t>
            </w:r>
            <w:r w:rsidRPr="00B97E7A">
              <w:rPr>
                <w:rFonts w:ascii="Times New Roman" w:eastAsia="Times New Roman" w:hAnsi="Times New Roman" w:cs="Times New Roman"/>
                <w:kern w:val="0"/>
                <w:sz w:val="28"/>
                <w:szCs w:val="28"/>
                <w:lang w:eastAsia="pl-PL"/>
                <w14:ligatures w14:val="none"/>
              </w:rPr>
              <w:br/>
              <w:t>13.7. Raportowanie wysokości dofinansowania, z podziałem na raty,</w:t>
            </w:r>
            <w:r w:rsidRPr="00B97E7A">
              <w:rPr>
                <w:rFonts w:ascii="Times New Roman" w:eastAsia="Times New Roman" w:hAnsi="Times New Roman" w:cs="Times New Roman"/>
                <w:kern w:val="0"/>
                <w:sz w:val="28"/>
                <w:szCs w:val="28"/>
                <w:lang w:eastAsia="pl-PL"/>
                <w14:ligatures w14:val="none"/>
              </w:rPr>
              <w:br/>
              <w:t>13.8. Wartości wg „imprez” np. grusza, Grzybowo-sezon, kolonie, sanatorium E, itp.,</w:t>
            </w:r>
            <w:r w:rsidRPr="00B97E7A">
              <w:rPr>
                <w:rFonts w:ascii="Times New Roman" w:eastAsia="Times New Roman" w:hAnsi="Times New Roman" w:cs="Times New Roman"/>
                <w:kern w:val="0"/>
                <w:sz w:val="28"/>
                <w:szCs w:val="28"/>
                <w:lang w:eastAsia="pl-PL"/>
                <w14:ligatures w14:val="none"/>
              </w:rPr>
              <w:br/>
              <w:t>13.9. Grupy dochodu w powiązaniu z wnioskiem,</w:t>
            </w:r>
            <w:r w:rsidRPr="00B97E7A">
              <w:rPr>
                <w:rFonts w:ascii="Times New Roman" w:eastAsia="Times New Roman" w:hAnsi="Times New Roman" w:cs="Times New Roman"/>
                <w:kern w:val="0"/>
                <w:sz w:val="28"/>
                <w:szCs w:val="28"/>
                <w:lang w:eastAsia="pl-PL"/>
                <w14:ligatures w14:val="none"/>
              </w:rPr>
              <w:br/>
              <w:t>13.10. Stan kartotek,</w:t>
            </w:r>
            <w:r w:rsidRPr="00B97E7A">
              <w:rPr>
                <w:rFonts w:ascii="Times New Roman" w:eastAsia="Times New Roman" w:hAnsi="Times New Roman" w:cs="Times New Roman"/>
                <w:kern w:val="0"/>
                <w:sz w:val="28"/>
                <w:szCs w:val="28"/>
                <w:lang w:eastAsia="pl-PL"/>
                <w14:ligatures w14:val="none"/>
              </w:rPr>
              <w:br/>
              <w:t>13.11. Dokumenty związane z udzieloną pracownikowi pożyczką np. wpłaty rat, spłaty odsetek, spłata całościowa kapitału,</w:t>
            </w:r>
            <w:r w:rsidRPr="00B97E7A">
              <w:rPr>
                <w:rFonts w:ascii="Times New Roman" w:eastAsia="Times New Roman" w:hAnsi="Times New Roman" w:cs="Times New Roman"/>
                <w:kern w:val="0"/>
                <w:sz w:val="28"/>
                <w:szCs w:val="28"/>
                <w:lang w:eastAsia="pl-PL"/>
                <w14:ligatures w14:val="none"/>
              </w:rPr>
              <w:br/>
              <w:t>13.12. Rodzaj potrąceń w okresie,</w:t>
            </w:r>
            <w:r w:rsidRPr="00B97E7A">
              <w:rPr>
                <w:rFonts w:ascii="Times New Roman" w:eastAsia="Times New Roman" w:hAnsi="Times New Roman" w:cs="Times New Roman"/>
                <w:kern w:val="0"/>
                <w:sz w:val="28"/>
                <w:szCs w:val="28"/>
                <w:lang w:eastAsia="pl-PL"/>
                <w14:ligatures w14:val="none"/>
              </w:rPr>
              <w:br/>
              <w:t>13.13. Potwierdzenie sald,</w:t>
            </w:r>
            <w:r w:rsidRPr="00B97E7A">
              <w:rPr>
                <w:rFonts w:ascii="Times New Roman" w:eastAsia="Times New Roman" w:hAnsi="Times New Roman" w:cs="Times New Roman"/>
                <w:kern w:val="0"/>
                <w:sz w:val="28"/>
                <w:szCs w:val="28"/>
                <w:lang w:eastAsia="pl-PL"/>
                <w14:ligatures w14:val="none"/>
              </w:rPr>
              <w:br/>
              <w:t>13.14. Niespłacone raty.</w:t>
            </w:r>
          </w:p>
        </w:tc>
        <w:tc>
          <w:tcPr>
            <w:tcW w:w="850" w:type="dxa"/>
            <w:tcBorders>
              <w:top w:val="nil"/>
              <w:left w:val="nil"/>
              <w:bottom w:val="single" w:sz="8" w:space="0" w:color="auto"/>
              <w:right w:val="single" w:sz="8" w:space="0" w:color="auto"/>
            </w:tcBorders>
            <w:shd w:val="clear" w:color="auto" w:fill="auto"/>
            <w:vAlign w:val="center"/>
            <w:hideMark/>
          </w:tcPr>
          <w:p w14:paraId="261D9C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70F7B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AB67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tworzenia i modyfikowania raportów przez użytkownika z wykorzystaniem wszystkich danych dostępnych w systemie.</w:t>
            </w:r>
          </w:p>
        </w:tc>
        <w:tc>
          <w:tcPr>
            <w:tcW w:w="850" w:type="dxa"/>
            <w:tcBorders>
              <w:top w:val="nil"/>
              <w:left w:val="nil"/>
              <w:bottom w:val="single" w:sz="8" w:space="0" w:color="auto"/>
              <w:right w:val="single" w:sz="8" w:space="0" w:color="auto"/>
            </w:tcBorders>
            <w:shd w:val="clear" w:color="auto" w:fill="auto"/>
            <w:vAlign w:val="center"/>
            <w:hideMark/>
          </w:tcPr>
          <w:p w14:paraId="729DD1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6ED7EF6"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DCDA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Alerty:</w:t>
            </w:r>
            <w:r w:rsidRPr="00B97E7A">
              <w:rPr>
                <w:rFonts w:ascii="Times New Roman" w:eastAsia="Times New Roman" w:hAnsi="Times New Roman" w:cs="Times New Roman"/>
                <w:kern w:val="0"/>
                <w:sz w:val="28"/>
                <w:szCs w:val="28"/>
                <w:lang w:eastAsia="pl-PL"/>
                <w14:ligatures w14:val="none"/>
              </w:rPr>
              <w:br/>
              <w:t>15.1. Zbyt niski wymiar urlopu („grusza”),</w:t>
            </w:r>
            <w:r w:rsidRPr="00B97E7A">
              <w:rPr>
                <w:rFonts w:ascii="Times New Roman" w:eastAsia="Times New Roman" w:hAnsi="Times New Roman" w:cs="Times New Roman"/>
                <w:kern w:val="0"/>
                <w:sz w:val="28"/>
                <w:szCs w:val="28"/>
                <w:lang w:eastAsia="pl-PL"/>
                <w14:ligatures w14:val="none"/>
              </w:rPr>
              <w:br/>
              <w:t>15.2. Podwójne dofinansowanie w danym roku (dzieci – kolonie albo „grusza” albo Grzybowo),</w:t>
            </w:r>
            <w:r w:rsidRPr="00B97E7A">
              <w:rPr>
                <w:rFonts w:ascii="Times New Roman" w:eastAsia="Times New Roman" w:hAnsi="Times New Roman" w:cs="Times New Roman"/>
                <w:kern w:val="0"/>
                <w:sz w:val="28"/>
                <w:szCs w:val="28"/>
                <w:lang w:eastAsia="pl-PL"/>
                <w14:ligatures w14:val="none"/>
              </w:rPr>
              <w:br/>
              <w:t>15.3. Dofinansowanie raz na dwa lata,</w:t>
            </w:r>
            <w:r w:rsidRPr="00B97E7A">
              <w:rPr>
                <w:rFonts w:ascii="Times New Roman" w:eastAsia="Times New Roman" w:hAnsi="Times New Roman" w:cs="Times New Roman"/>
                <w:kern w:val="0"/>
                <w:sz w:val="28"/>
                <w:szCs w:val="28"/>
                <w:lang w:eastAsia="pl-PL"/>
                <w14:ligatures w14:val="none"/>
              </w:rPr>
              <w:br/>
              <w:t>15.4. Brak oświadczenia o dochodzie (brak możliwości przyznania świadczenia),</w:t>
            </w:r>
            <w:r w:rsidRPr="00B97E7A">
              <w:rPr>
                <w:rFonts w:ascii="Times New Roman" w:eastAsia="Times New Roman" w:hAnsi="Times New Roman" w:cs="Times New Roman"/>
                <w:kern w:val="0"/>
                <w:sz w:val="28"/>
                <w:szCs w:val="28"/>
                <w:lang w:eastAsia="pl-PL"/>
                <w14:ligatures w14:val="none"/>
              </w:rPr>
              <w:br/>
              <w:t>15.5. Brak złożonego wniosku (brak możliwości przyznania świadczenia),</w:t>
            </w:r>
            <w:r w:rsidRPr="00B97E7A">
              <w:rPr>
                <w:rFonts w:ascii="Times New Roman" w:eastAsia="Times New Roman" w:hAnsi="Times New Roman" w:cs="Times New Roman"/>
                <w:kern w:val="0"/>
                <w:sz w:val="28"/>
                <w:szCs w:val="28"/>
                <w:lang w:eastAsia="pl-PL"/>
                <w14:ligatures w14:val="none"/>
              </w:rPr>
              <w:br/>
              <w:t>15.6. Poręczenie pożyczki więcej niż dwóm pracownikom w okresie trzech lat,</w:t>
            </w:r>
            <w:r w:rsidRPr="00B97E7A">
              <w:rPr>
                <w:rFonts w:ascii="Times New Roman" w:eastAsia="Times New Roman" w:hAnsi="Times New Roman" w:cs="Times New Roman"/>
                <w:kern w:val="0"/>
                <w:sz w:val="28"/>
                <w:szCs w:val="28"/>
                <w:lang w:eastAsia="pl-PL"/>
                <w14:ligatures w14:val="none"/>
              </w:rPr>
              <w:br/>
              <w:t>15.7. Dwa miesiące bez potrąceń na kartotece.</w:t>
            </w:r>
          </w:p>
        </w:tc>
        <w:tc>
          <w:tcPr>
            <w:tcW w:w="850" w:type="dxa"/>
            <w:tcBorders>
              <w:top w:val="nil"/>
              <w:left w:val="nil"/>
              <w:bottom w:val="single" w:sz="8" w:space="0" w:color="auto"/>
              <w:right w:val="single" w:sz="8" w:space="0" w:color="auto"/>
            </w:tcBorders>
            <w:shd w:val="clear" w:color="auto" w:fill="auto"/>
            <w:vAlign w:val="center"/>
            <w:hideMark/>
          </w:tcPr>
          <w:p w14:paraId="5EC141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3F7D869"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2C7E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16. Wprowadzanie danych do corocznego planu rozdysponowania świadczeń, wprowadzanie danych do corocznych planów wysokości dofinansowań (do wypoczynku, sportu i kultury), planowane liczby osób, kwota dopłaty na osobę, kwota zarezerwowana w planie funduszu, podział na pracowników (w kreślonych grupach dochodowych), dzieci (z uwzględnieniem podziału na grupy dochodowe), współmałżonków (z uwzględnieniem podziału na grupy dochodowe), emerytów i rencistów.</w:t>
            </w:r>
          </w:p>
        </w:tc>
        <w:tc>
          <w:tcPr>
            <w:tcW w:w="850" w:type="dxa"/>
            <w:tcBorders>
              <w:top w:val="nil"/>
              <w:left w:val="nil"/>
              <w:bottom w:val="single" w:sz="8" w:space="0" w:color="auto"/>
              <w:right w:val="single" w:sz="8" w:space="0" w:color="auto"/>
            </w:tcBorders>
            <w:shd w:val="clear" w:color="auto" w:fill="auto"/>
            <w:vAlign w:val="center"/>
            <w:hideMark/>
          </w:tcPr>
          <w:p w14:paraId="5602C97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11BC24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3609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Kontrola wydatków związana z planem rozdysponowania poszczególnych świadczeń (w tym planów dofinansowań) + możliwość wprowadzenia korekty do planu.</w:t>
            </w:r>
          </w:p>
        </w:tc>
        <w:tc>
          <w:tcPr>
            <w:tcW w:w="850" w:type="dxa"/>
            <w:tcBorders>
              <w:top w:val="nil"/>
              <w:left w:val="nil"/>
              <w:bottom w:val="single" w:sz="8" w:space="0" w:color="auto"/>
              <w:right w:val="single" w:sz="8" w:space="0" w:color="auto"/>
            </w:tcBorders>
            <w:shd w:val="clear" w:color="auto" w:fill="auto"/>
            <w:vAlign w:val="center"/>
            <w:hideMark/>
          </w:tcPr>
          <w:p w14:paraId="3216D5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4FC48E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F9955C"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Odzież robocza</w:t>
            </w:r>
          </w:p>
        </w:tc>
        <w:tc>
          <w:tcPr>
            <w:tcW w:w="850" w:type="dxa"/>
            <w:tcBorders>
              <w:top w:val="nil"/>
              <w:left w:val="nil"/>
              <w:bottom w:val="single" w:sz="8" w:space="0" w:color="auto"/>
              <w:right w:val="single" w:sz="8" w:space="0" w:color="auto"/>
            </w:tcBorders>
            <w:shd w:val="clear" w:color="000000" w:fill="A6A6A6"/>
            <w:vAlign w:val="center"/>
            <w:hideMark/>
          </w:tcPr>
          <w:p w14:paraId="51E3A3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CAC540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861C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Kartoteka odzieży i środków ochrony indywidualnej (moduł musi zawierać cały asortyment odzieży, obuwia roboczego i środków ochrony indywidualnej obejmujący indeks i nazwę (powiązane z modułem magazynowym)oraz wartość do ekwiwalentu z możliwością jej edycji).</w:t>
            </w:r>
          </w:p>
        </w:tc>
        <w:tc>
          <w:tcPr>
            <w:tcW w:w="850" w:type="dxa"/>
            <w:tcBorders>
              <w:top w:val="nil"/>
              <w:left w:val="nil"/>
              <w:bottom w:val="single" w:sz="8" w:space="0" w:color="auto"/>
              <w:right w:val="single" w:sz="8" w:space="0" w:color="auto"/>
            </w:tcBorders>
            <w:shd w:val="clear" w:color="auto" w:fill="auto"/>
            <w:vAlign w:val="center"/>
            <w:hideMark/>
          </w:tcPr>
          <w:p w14:paraId="1D038FB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4BEBDB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20DC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Grupy odzieżowe, w tym środki ochrony indywidualnej:</w:t>
            </w:r>
          </w:p>
        </w:tc>
        <w:tc>
          <w:tcPr>
            <w:tcW w:w="850" w:type="dxa"/>
            <w:tcBorders>
              <w:top w:val="nil"/>
              <w:left w:val="nil"/>
              <w:bottom w:val="single" w:sz="8" w:space="0" w:color="auto"/>
              <w:right w:val="single" w:sz="8" w:space="0" w:color="auto"/>
            </w:tcBorders>
            <w:shd w:val="clear" w:color="000000" w:fill="A6A6A6"/>
            <w:vAlign w:val="center"/>
            <w:hideMark/>
          </w:tcPr>
          <w:p w14:paraId="09AC5ED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2E1689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81C3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Definicja grupy obejmuje numer/symbol i nazwę grupy oraz możliwość oznaczenia czy dla danej grupy istnieje możliwość wybrania ekwiwalentu pieniężnego zamiast pobierania odzieży na RW,</w:t>
            </w:r>
          </w:p>
        </w:tc>
        <w:tc>
          <w:tcPr>
            <w:tcW w:w="850" w:type="dxa"/>
            <w:tcBorders>
              <w:top w:val="nil"/>
              <w:left w:val="nil"/>
              <w:bottom w:val="single" w:sz="8" w:space="0" w:color="auto"/>
              <w:right w:val="single" w:sz="8" w:space="0" w:color="auto"/>
            </w:tcBorders>
            <w:shd w:val="clear" w:color="auto" w:fill="auto"/>
            <w:vAlign w:val="center"/>
            <w:hideMark/>
          </w:tcPr>
          <w:p w14:paraId="513680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79E2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7736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przypisania pracownika do wybranej grupy,</w:t>
            </w:r>
          </w:p>
        </w:tc>
        <w:tc>
          <w:tcPr>
            <w:tcW w:w="850" w:type="dxa"/>
            <w:tcBorders>
              <w:top w:val="nil"/>
              <w:left w:val="nil"/>
              <w:bottom w:val="single" w:sz="8" w:space="0" w:color="auto"/>
              <w:right w:val="single" w:sz="8" w:space="0" w:color="auto"/>
            </w:tcBorders>
            <w:shd w:val="clear" w:color="auto" w:fill="auto"/>
            <w:vAlign w:val="center"/>
            <w:hideMark/>
          </w:tcPr>
          <w:p w14:paraId="547033A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2417A5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04BC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dopisywania/usuwania/edytowania grup,</w:t>
            </w:r>
          </w:p>
        </w:tc>
        <w:tc>
          <w:tcPr>
            <w:tcW w:w="850" w:type="dxa"/>
            <w:tcBorders>
              <w:top w:val="nil"/>
              <w:left w:val="nil"/>
              <w:bottom w:val="single" w:sz="8" w:space="0" w:color="auto"/>
              <w:right w:val="single" w:sz="8" w:space="0" w:color="auto"/>
            </w:tcBorders>
            <w:shd w:val="clear" w:color="auto" w:fill="auto"/>
            <w:vAlign w:val="center"/>
            <w:hideMark/>
          </w:tcPr>
          <w:p w14:paraId="7AC713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5A7CA1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FE4B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dodawania i usuwania indeksów asortymentowych do grupy,</w:t>
            </w:r>
          </w:p>
        </w:tc>
        <w:tc>
          <w:tcPr>
            <w:tcW w:w="850" w:type="dxa"/>
            <w:tcBorders>
              <w:top w:val="nil"/>
              <w:left w:val="nil"/>
              <w:bottom w:val="single" w:sz="8" w:space="0" w:color="auto"/>
              <w:right w:val="single" w:sz="8" w:space="0" w:color="auto"/>
            </w:tcBorders>
            <w:shd w:val="clear" w:color="auto" w:fill="auto"/>
            <w:vAlign w:val="center"/>
            <w:hideMark/>
          </w:tcPr>
          <w:p w14:paraId="0AB53B1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1A5C72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001F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Możliwość ustalenia ilości sztuk i okresu użytkowania dla każdego asortymentu w grupie,</w:t>
            </w:r>
          </w:p>
        </w:tc>
        <w:tc>
          <w:tcPr>
            <w:tcW w:w="850" w:type="dxa"/>
            <w:tcBorders>
              <w:top w:val="nil"/>
              <w:left w:val="nil"/>
              <w:bottom w:val="single" w:sz="8" w:space="0" w:color="auto"/>
              <w:right w:val="single" w:sz="8" w:space="0" w:color="auto"/>
            </w:tcBorders>
            <w:shd w:val="clear" w:color="auto" w:fill="auto"/>
            <w:vAlign w:val="center"/>
            <w:hideMark/>
          </w:tcPr>
          <w:p w14:paraId="2CB25C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D4CF4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D5DEF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Możliwość modyfikowania asortymentu przypisanego do pracownika na podstawie grupy (dodawania, usuwanie, modyfikacja pozycji asortymentu bez zmian w definicji grupy oraz możliwość przywrócenia asortymentu domyślnego) z zachowaniem historii zmian,</w:t>
            </w:r>
          </w:p>
        </w:tc>
        <w:tc>
          <w:tcPr>
            <w:tcW w:w="850" w:type="dxa"/>
            <w:tcBorders>
              <w:top w:val="nil"/>
              <w:left w:val="nil"/>
              <w:bottom w:val="single" w:sz="8" w:space="0" w:color="auto"/>
              <w:right w:val="single" w:sz="8" w:space="0" w:color="auto"/>
            </w:tcBorders>
            <w:shd w:val="clear" w:color="auto" w:fill="auto"/>
            <w:vAlign w:val="center"/>
            <w:hideMark/>
          </w:tcPr>
          <w:p w14:paraId="2AD75B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D71DA5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211B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Możliwość przywrócenia asortymentu domyślnego zabezpieczona przed przypadkowym kliknięciem, np. poprzez wymóg podania hasła logowania.</w:t>
            </w:r>
          </w:p>
        </w:tc>
        <w:tc>
          <w:tcPr>
            <w:tcW w:w="850" w:type="dxa"/>
            <w:tcBorders>
              <w:top w:val="nil"/>
              <w:left w:val="nil"/>
              <w:bottom w:val="single" w:sz="8" w:space="0" w:color="auto"/>
              <w:right w:val="single" w:sz="8" w:space="0" w:color="auto"/>
            </w:tcBorders>
            <w:shd w:val="clear" w:color="auto" w:fill="auto"/>
            <w:vAlign w:val="center"/>
            <w:hideMark/>
          </w:tcPr>
          <w:p w14:paraId="6622505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469DC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D35F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 Możliwość wypłacenia pracownikowi ekwiwalentu pieniężnego tylko w tych grupach odzieżowych, które wcześniej zostały oznaczone przez administratora (nie dotyczy środków ochrony indywidualnej i ręczników).</w:t>
            </w:r>
          </w:p>
        </w:tc>
        <w:tc>
          <w:tcPr>
            <w:tcW w:w="850" w:type="dxa"/>
            <w:tcBorders>
              <w:top w:val="nil"/>
              <w:left w:val="nil"/>
              <w:bottom w:val="single" w:sz="8" w:space="0" w:color="auto"/>
              <w:right w:val="single" w:sz="8" w:space="0" w:color="auto"/>
            </w:tcBorders>
            <w:shd w:val="clear" w:color="auto" w:fill="auto"/>
            <w:vAlign w:val="center"/>
            <w:hideMark/>
          </w:tcPr>
          <w:p w14:paraId="7F03AE6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83F9E5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1EC42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wyświetlenia wybranej grupy pracowników, którym przysługuje ekwiwalent (filtrowanie działami/pracownikami/grupami odzieżowymi, itp.):</w:t>
            </w:r>
          </w:p>
        </w:tc>
        <w:tc>
          <w:tcPr>
            <w:tcW w:w="850" w:type="dxa"/>
            <w:tcBorders>
              <w:top w:val="nil"/>
              <w:left w:val="nil"/>
              <w:bottom w:val="single" w:sz="8" w:space="0" w:color="auto"/>
              <w:right w:val="single" w:sz="8" w:space="0" w:color="auto"/>
            </w:tcBorders>
            <w:shd w:val="clear" w:color="000000" w:fill="A6A6A6"/>
            <w:vAlign w:val="center"/>
            <w:hideMark/>
          </w:tcPr>
          <w:p w14:paraId="0A584A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7CD7A8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AA88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Po wybraniu pracownika system musi wyświetlić przysługujący mu asortyment (indeks, nazwa, wartość, od kiedy przysługuje, okres używalności, aktualny okres ekwiwalentu, aktualna wartość ekwiwalentu),</w:t>
            </w:r>
          </w:p>
        </w:tc>
        <w:tc>
          <w:tcPr>
            <w:tcW w:w="850" w:type="dxa"/>
            <w:tcBorders>
              <w:top w:val="nil"/>
              <w:left w:val="nil"/>
              <w:bottom w:val="single" w:sz="8" w:space="0" w:color="auto"/>
              <w:right w:val="single" w:sz="8" w:space="0" w:color="auto"/>
            </w:tcBorders>
            <w:shd w:val="clear" w:color="auto" w:fill="auto"/>
            <w:vAlign w:val="center"/>
            <w:hideMark/>
          </w:tcPr>
          <w:p w14:paraId="18531EB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D06B80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E1EA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Możliwość aktualizacji danych u pracowników po dokonaniu zmian w grupie odzieżowej z określeniem pracowników, u których zmiana ma nastąpić,</w:t>
            </w:r>
          </w:p>
        </w:tc>
        <w:tc>
          <w:tcPr>
            <w:tcW w:w="850" w:type="dxa"/>
            <w:tcBorders>
              <w:top w:val="nil"/>
              <w:left w:val="nil"/>
              <w:bottom w:val="single" w:sz="8" w:space="0" w:color="auto"/>
              <w:right w:val="single" w:sz="8" w:space="0" w:color="auto"/>
            </w:tcBorders>
            <w:shd w:val="clear" w:color="auto" w:fill="auto"/>
            <w:vAlign w:val="center"/>
            <w:hideMark/>
          </w:tcPr>
          <w:p w14:paraId="65E854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A38CDB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CF1D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pobrania ekwiwalentu raz w roku (pierwszy raz po 12 miesiącach od daty zatrudnienia) przez cały okres użytkowania danego asortymentu,</w:t>
            </w:r>
          </w:p>
        </w:tc>
        <w:tc>
          <w:tcPr>
            <w:tcW w:w="850" w:type="dxa"/>
            <w:tcBorders>
              <w:top w:val="nil"/>
              <w:left w:val="nil"/>
              <w:bottom w:val="single" w:sz="8" w:space="0" w:color="auto"/>
              <w:right w:val="single" w:sz="8" w:space="0" w:color="auto"/>
            </w:tcBorders>
            <w:shd w:val="clear" w:color="auto" w:fill="auto"/>
            <w:vAlign w:val="center"/>
            <w:hideMark/>
          </w:tcPr>
          <w:p w14:paraId="159903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AB2449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39339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4.4. Po zatwierdzeniu, płatność ekwiwalentu automatycznie przesyłana do modułu płacowego.</w:t>
            </w:r>
          </w:p>
        </w:tc>
        <w:tc>
          <w:tcPr>
            <w:tcW w:w="850" w:type="dxa"/>
            <w:tcBorders>
              <w:top w:val="nil"/>
              <w:left w:val="nil"/>
              <w:bottom w:val="single" w:sz="8" w:space="0" w:color="auto"/>
              <w:right w:val="single" w:sz="8" w:space="0" w:color="auto"/>
            </w:tcBorders>
            <w:shd w:val="clear" w:color="auto" w:fill="auto"/>
            <w:vAlign w:val="center"/>
            <w:hideMark/>
          </w:tcPr>
          <w:p w14:paraId="0D7DB5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616EAB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FD42E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wystawiania dokumentów RW – pobrania danego asortymentu, wynikającego z przypisanej grupy odzieżowej, lub w przypadku przedwczesnego zużycia (zgodnie z nadanymi uprawnieniami):</w:t>
            </w:r>
          </w:p>
        </w:tc>
        <w:tc>
          <w:tcPr>
            <w:tcW w:w="850" w:type="dxa"/>
            <w:tcBorders>
              <w:top w:val="nil"/>
              <w:left w:val="nil"/>
              <w:bottom w:val="single" w:sz="8" w:space="0" w:color="auto"/>
              <w:right w:val="single" w:sz="8" w:space="0" w:color="auto"/>
            </w:tcBorders>
            <w:shd w:val="clear" w:color="000000" w:fill="A6A6A6"/>
            <w:vAlign w:val="center"/>
            <w:hideMark/>
          </w:tcPr>
          <w:p w14:paraId="75FC2B5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468410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37472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Połączenie modułu odzieżowego z magazynem – dokumenty RW wystawiane w module odzieżowym automatycznie pojawiają się we właściwym magazynie,</w:t>
            </w:r>
          </w:p>
        </w:tc>
        <w:tc>
          <w:tcPr>
            <w:tcW w:w="850" w:type="dxa"/>
            <w:tcBorders>
              <w:top w:val="nil"/>
              <w:left w:val="nil"/>
              <w:bottom w:val="single" w:sz="8" w:space="0" w:color="auto"/>
              <w:right w:val="single" w:sz="8" w:space="0" w:color="auto"/>
            </w:tcBorders>
            <w:shd w:val="clear" w:color="auto" w:fill="auto"/>
            <w:vAlign w:val="center"/>
            <w:hideMark/>
          </w:tcPr>
          <w:p w14:paraId="1BB045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FDF26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92B1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Możliwość filtrowania wg działów, grup odzieżowych, pracowników, itp.,</w:t>
            </w:r>
          </w:p>
        </w:tc>
        <w:tc>
          <w:tcPr>
            <w:tcW w:w="850" w:type="dxa"/>
            <w:tcBorders>
              <w:top w:val="nil"/>
              <w:left w:val="nil"/>
              <w:bottom w:val="single" w:sz="8" w:space="0" w:color="auto"/>
              <w:right w:val="single" w:sz="8" w:space="0" w:color="auto"/>
            </w:tcBorders>
            <w:shd w:val="clear" w:color="auto" w:fill="auto"/>
            <w:vAlign w:val="center"/>
            <w:hideMark/>
          </w:tcPr>
          <w:p w14:paraId="1CC1E1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A88133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49B5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Zachowanie historii pobierania odzieży po zmianie działu,</w:t>
            </w:r>
          </w:p>
        </w:tc>
        <w:tc>
          <w:tcPr>
            <w:tcW w:w="850" w:type="dxa"/>
            <w:tcBorders>
              <w:top w:val="nil"/>
              <w:left w:val="nil"/>
              <w:bottom w:val="single" w:sz="8" w:space="0" w:color="auto"/>
              <w:right w:val="single" w:sz="8" w:space="0" w:color="auto"/>
            </w:tcBorders>
            <w:shd w:val="clear" w:color="auto" w:fill="auto"/>
            <w:vAlign w:val="center"/>
            <w:hideMark/>
          </w:tcPr>
          <w:p w14:paraId="7FCF9B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AC2920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568D2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5.4. Możliwość ręcznego edytowania okresu użytkowania,</w:t>
            </w:r>
          </w:p>
        </w:tc>
        <w:tc>
          <w:tcPr>
            <w:tcW w:w="850" w:type="dxa"/>
            <w:tcBorders>
              <w:top w:val="nil"/>
              <w:left w:val="nil"/>
              <w:bottom w:val="single" w:sz="8" w:space="0" w:color="auto"/>
              <w:right w:val="single" w:sz="8" w:space="0" w:color="auto"/>
            </w:tcBorders>
            <w:shd w:val="clear" w:color="auto" w:fill="auto"/>
            <w:vAlign w:val="center"/>
            <w:hideMark/>
          </w:tcPr>
          <w:p w14:paraId="60731A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CCFA7A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6886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5.5. Możliwość nadawania uprawnień – wystawianie RW wyłącznie w swoim dziale.</w:t>
            </w:r>
          </w:p>
        </w:tc>
        <w:tc>
          <w:tcPr>
            <w:tcW w:w="850" w:type="dxa"/>
            <w:tcBorders>
              <w:top w:val="nil"/>
              <w:left w:val="nil"/>
              <w:bottom w:val="single" w:sz="8" w:space="0" w:color="auto"/>
              <w:right w:val="single" w:sz="8" w:space="0" w:color="auto"/>
            </w:tcBorders>
            <w:shd w:val="clear" w:color="auto" w:fill="auto"/>
            <w:vAlign w:val="center"/>
            <w:hideMark/>
          </w:tcPr>
          <w:p w14:paraId="260E47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A9CBE5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5FB03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Szkolenia okresowe</w:t>
            </w:r>
          </w:p>
        </w:tc>
        <w:tc>
          <w:tcPr>
            <w:tcW w:w="850" w:type="dxa"/>
            <w:tcBorders>
              <w:top w:val="nil"/>
              <w:left w:val="nil"/>
              <w:bottom w:val="single" w:sz="8" w:space="0" w:color="auto"/>
              <w:right w:val="single" w:sz="8" w:space="0" w:color="auto"/>
            </w:tcBorders>
            <w:shd w:val="clear" w:color="000000" w:fill="A6A6A6"/>
            <w:vAlign w:val="center"/>
            <w:hideMark/>
          </w:tcPr>
          <w:p w14:paraId="12F84C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95BA48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40087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Szkolenia okresowe BHP - możliwość podziału i filtrowania na:</w:t>
            </w:r>
          </w:p>
        </w:tc>
        <w:tc>
          <w:tcPr>
            <w:tcW w:w="850" w:type="dxa"/>
            <w:tcBorders>
              <w:top w:val="nil"/>
              <w:left w:val="nil"/>
              <w:bottom w:val="single" w:sz="8" w:space="0" w:color="auto"/>
              <w:right w:val="single" w:sz="8" w:space="0" w:color="auto"/>
            </w:tcBorders>
            <w:shd w:val="clear" w:color="000000" w:fill="A6A6A6"/>
            <w:vAlign w:val="center"/>
            <w:hideMark/>
          </w:tcPr>
          <w:p w14:paraId="1592BC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CD90A1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C313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rodzaj zatrudnienia (F-fizyczni, U-umysłowi),</w:t>
            </w:r>
          </w:p>
        </w:tc>
        <w:tc>
          <w:tcPr>
            <w:tcW w:w="850" w:type="dxa"/>
            <w:tcBorders>
              <w:top w:val="nil"/>
              <w:left w:val="nil"/>
              <w:bottom w:val="single" w:sz="8" w:space="0" w:color="auto"/>
              <w:right w:val="single" w:sz="8" w:space="0" w:color="auto"/>
            </w:tcBorders>
            <w:shd w:val="clear" w:color="auto" w:fill="auto"/>
            <w:vAlign w:val="center"/>
            <w:hideMark/>
          </w:tcPr>
          <w:p w14:paraId="55D4B96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68A89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6604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grupy stanowisk np. kierownicy i zastępcy, pracownicy inżynieryjno-techniczni, administracyjno-biurowi, brygadziści itp.</w:t>
            </w:r>
          </w:p>
        </w:tc>
        <w:tc>
          <w:tcPr>
            <w:tcW w:w="850" w:type="dxa"/>
            <w:tcBorders>
              <w:top w:val="nil"/>
              <w:left w:val="nil"/>
              <w:bottom w:val="single" w:sz="8" w:space="0" w:color="auto"/>
              <w:right w:val="single" w:sz="8" w:space="0" w:color="auto"/>
            </w:tcBorders>
            <w:shd w:val="clear" w:color="auto" w:fill="auto"/>
            <w:vAlign w:val="center"/>
            <w:hideMark/>
          </w:tcPr>
          <w:p w14:paraId="1DB8462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4C8D4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18F2A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Działalność KZP</w:t>
            </w:r>
            <w:r w:rsidRPr="00B97E7A">
              <w:rPr>
                <w:rFonts w:ascii="Times New Roman" w:eastAsia="Times New Roman" w:hAnsi="Times New Roman" w:cs="Times New Roman"/>
                <w:kern w:val="0"/>
                <w:sz w:val="28"/>
                <w:szCs w:val="28"/>
                <w:lang w:eastAsia="pl-PL"/>
                <w14:ligatures w14:val="none"/>
              </w:rPr>
              <w:t xml:space="preserve"> -  w ramach KZP w systemie będzie możliwość zdefiniowania obsługi wypłacanych wkładów, pożyczek oraz otwieranie kartotek nowych członków KZP</w:t>
            </w:r>
          </w:p>
        </w:tc>
        <w:tc>
          <w:tcPr>
            <w:tcW w:w="850" w:type="dxa"/>
            <w:tcBorders>
              <w:top w:val="nil"/>
              <w:left w:val="nil"/>
              <w:bottom w:val="single" w:sz="8" w:space="0" w:color="auto"/>
              <w:right w:val="single" w:sz="8" w:space="0" w:color="auto"/>
            </w:tcBorders>
            <w:shd w:val="clear" w:color="000000" w:fill="A6A6A6"/>
            <w:vAlign w:val="center"/>
            <w:hideMark/>
          </w:tcPr>
          <w:p w14:paraId="4321372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AD3E1C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D4E8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Przyjęcie nowego członka KZP - otwarcie kartoteki i wprowadzenie jednorazowego wpisowego oraz składki.</w:t>
            </w:r>
          </w:p>
        </w:tc>
        <w:tc>
          <w:tcPr>
            <w:tcW w:w="850" w:type="dxa"/>
            <w:tcBorders>
              <w:top w:val="nil"/>
              <w:left w:val="nil"/>
              <w:bottom w:val="single" w:sz="8" w:space="0" w:color="auto"/>
              <w:right w:val="single" w:sz="8" w:space="0" w:color="auto"/>
            </w:tcBorders>
            <w:shd w:val="clear" w:color="auto" w:fill="auto"/>
            <w:vAlign w:val="center"/>
            <w:hideMark/>
          </w:tcPr>
          <w:p w14:paraId="35D581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03EB1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88A62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Wkłady -  ewidencja potrącanych wkładów w miesiącu.</w:t>
            </w:r>
          </w:p>
        </w:tc>
        <w:tc>
          <w:tcPr>
            <w:tcW w:w="850" w:type="dxa"/>
            <w:tcBorders>
              <w:top w:val="nil"/>
              <w:left w:val="nil"/>
              <w:bottom w:val="single" w:sz="8" w:space="0" w:color="auto"/>
              <w:right w:val="single" w:sz="8" w:space="0" w:color="auto"/>
            </w:tcBorders>
            <w:shd w:val="clear" w:color="auto" w:fill="auto"/>
            <w:vAlign w:val="center"/>
            <w:hideMark/>
          </w:tcPr>
          <w:p w14:paraId="4E5B9F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7F36E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5DA9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Pożyczki</w:t>
            </w:r>
          </w:p>
        </w:tc>
        <w:tc>
          <w:tcPr>
            <w:tcW w:w="850" w:type="dxa"/>
            <w:tcBorders>
              <w:top w:val="nil"/>
              <w:left w:val="nil"/>
              <w:bottom w:val="single" w:sz="8" w:space="0" w:color="auto"/>
              <w:right w:val="single" w:sz="8" w:space="0" w:color="auto"/>
            </w:tcBorders>
            <w:shd w:val="clear" w:color="000000" w:fill="A6A6A6"/>
            <w:vAlign w:val="center"/>
            <w:hideMark/>
          </w:tcPr>
          <w:p w14:paraId="7D42CB5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CC4E4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6ADA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Możliwość definiowania dowolnych rodzajów pożyczek.</w:t>
            </w:r>
          </w:p>
        </w:tc>
        <w:tc>
          <w:tcPr>
            <w:tcW w:w="850" w:type="dxa"/>
            <w:tcBorders>
              <w:top w:val="nil"/>
              <w:left w:val="nil"/>
              <w:bottom w:val="single" w:sz="8" w:space="0" w:color="auto"/>
              <w:right w:val="single" w:sz="8" w:space="0" w:color="auto"/>
            </w:tcBorders>
            <w:shd w:val="clear" w:color="auto" w:fill="auto"/>
            <w:vAlign w:val="center"/>
            <w:hideMark/>
          </w:tcPr>
          <w:p w14:paraId="7353B1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78B17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8C8D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Ewidencja spłat udzielonych pożyczek.</w:t>
            </w:r>
          </w:p>
        </w:tc>
        <w:tc>
          <w:tcPr>
            <w:tcW w:w="850" w:type="dxa"/>
            <w:tcBorders>
              <w:top w:val="nil"/>
              <w:left w:val="nil"/>
              <w:bottom w:val="single" w:sz="8" w:space="0" w:color="auto"/>
              <w:right w:val="single" w:sz="8" w:space="0" w:color="auto"/>
            </w:tcBorders>
            <w:shd w:val="clear" w:color="auto" w:fill="auto"/>
            <w:vAlign w:val="center"/>
            <w:hideMark/>
          </w:tcPr>
          <w:p w14:paraId="2316E5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33E428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3E18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Spłaty rat pożyczek mają odbywać się automatycznie przez listę płac, ponadto musi istnieć możliwość zaewidencjonowania spłaty pożyczki poprzez kasę.</w:t>
            </w:r>
          </w:p>
        </w:tc>
        <w:tc>
          <w:tcPr>
            <w:tcW w:w="850" w:type="dxa"/>
            <w:tcBorders>
              <w:top w:val="nil"/>
              <w:left w:val="nil"/>
              <w:bottom w:val="single" w:sz="8" w:space="0" w:color="auto"/>
              <w:right w:val="single" w:sz="8" w:space="0" w:color="auto"/>
            </w:tcBorders>
            <w:shd w:val="clear" w:color="auto" w:fill="auto"/>
            <w:vAlign w:val="center"/>
            <w:hideMark/>
          </w:tcPr>
          <w:p w14:paraId="763325C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C8A13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8BF8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3.4. Możliwość zmiany wysokości rat pożyczki, zawieszenia czasowego spłaty raty pożyczki, umorzenie pożyczki.</w:t>
            </w:r>
          </w:p>
        </w:tc>
        <w:tc>
          <w:tcPr>
            <w:tcW w:w="850" w:type="dxa"/>
            <w:tcBorders>
              <w:top w:val="nil"/>
              <w:left w:val="nil"/>
              <w:bottom w:val="single" w:sz="8" w:space="0" w:color="auto"/>
              <w:right w:val="single" w:sz="8" w:space="0" w:color="auto"/>
            </w:tcBorders>
            <w:shd w:val="clear" w:color="auto" w:fill="auto"/>
            <w:vAlign w:val="center"/>
            <w:hideMark/>
          </w:tcPr>
          <w:p w14:paraId="62CF324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F2205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DC8E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3.5. Rejestr poręczycieli i możliwość dopisania do kredytobiorcy- tylko 2 poręczycieli do pożyczkobiorców.</w:t>
            </w:r>
          </w:p>
        </w:tc>
        <w:tc>
          <w:tcPr>
            <w:tcW w:w="850" w:type="dxa"/>
            <w:tcBorders>
              <w:top w:val="nil"/>
              <w:left w:val="nil"/>
              <w:bottom w:val="single" w:sz="8" w:space="0" w:color="auto"/>
              <w:right w:val="single" w:sz="8" w:space="0" w:color="auto"/>
            </w:tcBorders>
            <w:shd w:val="clear" w:color="auto" w:fill="auto"/>
            <w:vAlign w:val="center"/>
            <w:hideMark/>
          </w:tcPr>
          <w:p w14:paraId="5059327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D079C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CEFE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Poręczycielami mogą być tylko członkowie KZP.</w:t>
            </w:r>
          </w:p>
        </w:tc>
        <w:tc>
          <w:tcPr>
            <w:tcW w:w="850" w:type="dxa"/>
            <w:tcBorders>
              <w:top w:val="nil"/>
              <w:left w:val="nil"/>
              <w:bottom w:val="single" w:sz="8" w:space="0" w:color="auto"/>
              <w:right w:val="single" w:sz="8" w:space="0" w:color="auto"/>
            </w:tcBorders>
            <w:shd w:val="clear" w:color="auto" w:fill="auto"/>
            <w:vAlign w:val="center"/>
            <w:hideMark/>
          </w:tcPr>
          <w:p w14:paraId="5EFBA4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4456DA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DCD44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Rozliczenie byłych pracowników z pożyczek, kontrola spłaty pożyczek.</w:t>
            </w:r>
          </w:p>
        </w:tc>
        <w:tc>
          <w:tcPr>
            <w:tcW w:w="850" w:type="dxa"/>
            <w:tcBorders>
              <w:top w:val="nil"/>
              <w:left w:val="nil"/>
              <w:bottom w:val="single" w:sz="8" w:space="0" w:color="auto"/>
              <w:right w:val="single" w:sz="8" w:space="0" w:color="auto"/>
            </w:tcBorders>
            <w:shd w:val="clear" w:color="auto" w:fill="auto"/>
            <w:vAlign w:val="center"/>
            <w:hideMark/>
          </w:tcPr>
          <w:p w14:paraId="50C9AE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B24495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8BBF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Możliwość pokrycia zadłużenia wkładami członka KZP.</w:t>
            </w:r>
          </w:p>
        </w:tc>
        <w:tc>
          <w:tcPr>
            <w:tcW w:w="850" w:type="dxa"/>
            <w:tcBorders>
              <w:top w:val="nil"/>
              <w:left w:val="nil"/>
              <w:bottom w:val="single" w:sz="8" w:space="0" w:color="auto"/>
              <w:right w:val="single" w:sz="8" w:space="0" w:color="auto"/>
            </w:tcBorders>
            <w:shd w:val="clear" w:color="auto" w:fill="auto"/>
            <w:vAlign w:val="center"/>
            <w:hideMark/>
          </w:tcPr>
          <w:p w14:paraId="4A3FC2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F8B3C9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1D93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Raporty</w:t>
            </w:r>
          </w:p>
        </w:tc>
        <w:tc>
          <w:tcPr>
            <w:tcW w:w="850" w:type="dxa"/>
            <w:tcBorders>
              <w:top w:val="nil"/>
              <w:left w:val="nil"/>
              <w:bottom w:val="single" w:sz="8" w:space="0" w:color="auto"/>
              <w:right w:val="single" w:sz="8" w:space="0" w:color="auto"/>
            </w:tcBorders>
            <w:shd w:val="clear" w:color="000000" w:fill="A6A6A6"/>
            <w:vAlign w:val="center"/>
            <w:hideMark/>
          </w:tcPr>
          <w:p w14:paraId="2BBEBD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A6EE8F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B9F869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O wkładach, pożyczkach i wpisowym.</w:t>
            </w:r>
          </w:p>
        </w:tc>
        <w:tc>
          <w:tcPr>
            <w:tcW w:w="850" w:type="dxa"/>
            <w:tcBorders>
              <w:top w:val="nil"/>
              <w:left w:val="nil"/>
              <w:bottom w:val="single" w:sz="8" w:space="0" w:color="auto"/>
              <w:right w:val="single" w:sz="8" w:space="0" w:color="auto"/>
            </w:tcBorders>
            <w:shd w:val="clear" w:color="auto" w:fill="auto"/>
            <w:vAlign w:val="center"/>
            <w:hideMark/>
          </w:tcPr>
          <w:p w14:paraId="21FAB7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6E03C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EC65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Możliwość wprowadzenia raportu z ilości wypłaconych wkładów i pożyczek</w:t>
            </w:r>
          </w:p>
        </w:tc>
        <w:tc>
          <w:tcPr>
            <w:tcW w:w="850" w:type="dxa"/>
            <w:tcBorders>
              <w:top w:val="nil"/>
              <w:left w:val="nil"/>
              <w:bottom w:val="single" w:sz="8" w:space="0" w:color="auto"/>
              <w:right w:val="single" w:sz="8" w:space="0" w:color="auto"/>
            </w:tcBorders>
            <w:shd w:val="clear" w:color="auto" w:fill="auto"/>
            <w:vAlign w:val="center"/>
            <w:hideMark/>
          </w:tcPr>
          <w:p w14:paraId="36F295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C3E290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92E3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generowania zestawienia danych na kontach księgowych np. lista płac, lokaty, opłaty za prowadzenie rachunku bankowego.</w:t>
            </w:r>
          </w:p>
        </w:tc>
        <w:tc>
          <w:tcPr>
            <w:tcW w:w="850" w:type="dxa"/>
            <w:tcBorders>
              <w:top w:val="nil"/>
              <w:left w:val="nil"/>
              <w:bottom w:val="single" w:sz="8" w:space="0" w:color="auto"/>
              <w:right w:val="single" w:sz="8" w:space="0" w:color="auto"/>
            </w:tcBorders>
            <w:shd w:val="clear" w:color="auto" w:fill="auto"/>
            <w:vAlign w:val="center"/>
            <w:hideMark/>
          </w:tcPr>
          <w:p w14:paraId="642D63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57ABFF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B84DE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4.4. Bilans roczny z działalności KZP.</w:t>
            </w:r>
          </w:p>
        </w:tc>
        <w:tc>
          <w:tcPr>
            <w:tcW w:w="850" w:type="dxa"/>
            <w:tcBorders>
              <w:top w:val="nil"/>
              <w:left w:val="nil"/>
              <w:bottom w:val="single" w:sz="8" w:space="0" w:color="auto"/>
              <w:right w:val="single" w:sz="8" w:space="0" w:color="auto"/>
            </w:tcBorders>
            <w:shd w:val="clear" w:color="auto" w:fill="auto"/>
            <w:vAlign w:val="center"/>
            <w:hideMark/>
          </w:tcPr>
          <w:p w14:paraId="349078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2507272" w14:textId="77777777" w:rsidTr="00DE4B95">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2300E1"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XI. PŁACE</w:t>
            </w:r>
          </w:p>
        </w:tc>
        <w:tc>
          <w:tcPr>
            <w:tcW w:w="850" w:type="dxa"/>
            <w:tcBorders>
              <w:top w:val="nil"/>
              <w:left w:val="nil"/>
              <w:bottom w:val="single" w:sz="8" w:space="0" w:color="auto"/>
              <w:right w:val="single" w:sz="8" w:space="0" w:color="auto"/>
            </w:tcBorders>
            <w:shd w:val="clear" w:color="000000" w:fill="A6A6A6"/>
            <w:vAlign w:val="center"/>
            <w:hideMark/>
          </w:tcPr>
          <w:p w14:paraId="66E5A0A3"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01BCDB3" w14:textId="77777777" w:rsidTr="00DE4B95">
        <w:trPr>
          <w:trHeight w:val="8175"/>
        </w:trPr>
        <w:tc>
          <w:tcPr>
            <w:tcW w:w="921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343421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Składniki płacowe zgodnie z KP i ZUZP, w tym:</w:t>
            </w:r>
            <w:r w:rsidRPr="00B97E7A">
              <w:rPr>
                <w:rFonts w:ascii="Times New Roman" w:eastAsia="Times New Roman" w:hAnsi="Times New Roman" w:cs="Times New Roman"/>
                <w:kern w:val="0"/>
                <w:sz w:val="28"/>
                <w:szCs w:val="28"/>
                <w:lang w:eastAsia="pl-PL"/>
                <w14:ligatures w14:val="none"/>
              </w:rPr>
              <w:br/>
              <w:t>- płaca zasadnicza,</w:t>
            </w:r>
            <w:r w:rsidRPr="00B97E7A">
              <w:rPr>
                <w:rFonts w:ascii="Times New Roman" w:eastAsia="Times New Roman" w:hAnsi="Times New Roman" w:cs="Times New Roman"/>
                <w:kern w:val="0"/>
                <w:sz w:val="28"/>
                <w:szCs w:val="28"/>
                <w:lang w:eastAsia="pl-PL"/>
                <w14:ligatures w14:val="none"/>
              </w:rPr>
              <w:br/>
              <w:t>- premia regulaminowa – wyrażona w %,</w:t>
            </w:r>
            <w:r w:rsidRPr="00B97E7A">
              <w:rPr>
                <w:rFonts w:ascii="Times New Roman" w:eastAsia="Times New Roman" w:hAnsi="Times New Roman" w:cs="Times New Roman"/>
                <w:kern w:val="0"/>
                <w:sz w:val="28"/>
                <w:szCs w:val="28"/>
                <w:lang w:eastAsia="pl-PL"/>
                <w14:ligatures w14:val="none"/>
              </w:rPr>
              <w:br/>
              <w:t>- zaliczka na nagrodę motywacyjną – wyrażona w %,</w:t>
            </w:r>
            <w:r w:rsidRPr="00B97E7A">
              <w:rPr>
                <w:rFonts w:ascii="Times New Roman" w:eastAsia="Times New Roman" w:hAnsi="Times New Roman" w:cs="Times New Roman"/>
                <w:kern w:val="0"/>
                <w:sz w:val="28"/>
                <w:szCs w:val="28"/>
                <w:lang w:eastAsia="pl-PL"/>
                <w14:ligatures w14:val="none"/>
              </w:rPr>
              <w:br/>
              <w:t>- dodatek do pracy w godzinach nadliczbowych,</w:t>
            </w:r>
            <w:r w:rsidRPr="00B97E7A">
              <w:rPr>
                <w:rFonts w:ascii="Times New Roman" w:eastAsia="Times New Roman" w:hAnsi="Times New Roman" w:cs="Times New Roman"/>
                <w:kern w:val="0"/>
                <w:sz w:val="28"/>
                <w:szCs w:val="28"/>
                <w:lang w:eastAsia="pl-PL"/>
                <w14:ligatures w14:val="none"/>
              </w:rPr>
              <w:br/>
              <w:t>- dodatek za pracę w niedziele i święta,</w:t>
            </w:r>
            <w:r w:rsidRPr="00B97E7A">
              <w:rPr>
                <w:rFonts w:ascii="Times New Roman" w:eastAsia="Times New Roman" w:hAnsi="Times New Roman" w:cs="Times New Roman"/>
                <w:kern w:val="0"/>
                <w:sz w:val="28"/>
                <w:szCs w:val="28"/>
                <w:lang w:eastAsia="pl-PL"/>
                <w14:ligatures w14:val="none"/>
              </w:rPr>
              <w:br/>
              <w:t>- dodatek nocny,</w:t>
            </w:r>
            <w:r w:rsidRPr="00B97E7A">
              <w:rPr>
                <w:rFonts w:ascii="Times New Roman" w:eastAsia="Times New Roman" w:hAnsi="Times New Roman" w:cs="Times New Roman"/>
                <w:kern w:val="0"/>
                <w:sz w:val="28"/>
                <w:szCs w:val="28"/>
                <w:lang w:eastAsia="pl-PL"/>
                <w14:ligatures w14:val="none"/>
              </w:rPr>
              <w:br/>
              <w:t>- dodatek brygadzistowski,</w:t>
            </w:r>
            <w:r w:rsidRPr="00B97E7A">
              <w:rPr>
                <w:rFonts w:ascii="Times New Roman" w:eastAsia="Times New Roman" w:hAnsi="Times New Roman" w:cs="Times New Roman"/>
                <w:kern w:val="0"/>
                <w:sz w:val="28"/>
                <w:szCs w:val="28"/>
                <w:lang w:eastAsia="pl-PL"/>
                <w14:ligatures w14:val="none"/>
              </w:rPr>
              <w:br/>
              <w:t>- dodatek szkodliwy,</w:t>
            </w:r>
            <w:r w:rsidRPr="00B97E7A">
              <w:rPr>
                <w:rFonts w:ascii="Times New Roman" w:eastAsia="Times New Roman" w:hAnsi="Times New Roman" w:cs="Times New Roman"/>
                <w:kern w:val="0"/>
                <w:sz w:val="28"/>
                <w:szCs w:val="28"/>
                <w:lang w:eastAsia="pl-PL"/>
                <w14:ligatures w14:val="none"/>
              </w:rPr>
              <w:br/>
              <w:t>- dodatek za ratownictwo,</w:t>
            </w:r>
            <w:r w:rsidRPr="00B97E7A">
              <w:rPr>
                <w:rFonts w:ascii="Times New Roman" w:eastAsia="Times New Roman" w:hAnsi="Times New Roman" w:cs="Times New Roman"/>
                <w:kern w:val="0"/>
                <w:sz w:val="28"/>
                <w:szCs w:val="28"/>
                <w:lang w:eastAsia="pl-PL"/>
                <w14:ligatures w14:val="none"/>
              </w:rPr>
              <w:br/>
              <w:t>- dodatek za pracę trzyzmianową,</w:t>
            </w:r>
            <w:r w:rsidRPr="00B97E7A">
              <w:rPr>
                <w:rFonts w:ascii="Times New Roman" w:eastAsia="Times New Roman" w:hAnsi="Times New Roman" w:cs="Times New Roman"/>
                <w:kern w:val="0"/>
                <w:sz w:val="28"/>
                <w:szCs w:val="28"/>
                <w:lang w:eastAsia="pl-PL"/>
                <w14:ligatures w14:val="none"/>
              </w:rPr>
              <w:br/>
              <w:t>- kwartalna nagroda uznaniowa,</w:t>
            </w:r>
            <w:r w:rsidRPr="00B97E7A">
              <w:rPr>
                <w:rFonts w:ascii="Times New Roman" w:eastAsia="Times New Roman" w:hAnsi="Times New Roman" w:cs="Times New Roman"/>
                <w:kern w:val="0"/>
                <w:sz w:val="28"/>
                <w:szCs w:val="28"/>
                <w:lang w:eastAsia="pl-PL"/>
                <w14:ligatures w14:val="none"/>
              </w:rPr>
              <w:br/>
              <w:t>- premia dodatkowa,</w:t>
            </w:r>
            <w:r w:rsidRPr="00B97E7A">
              <w:rPr>
                <w:rFonts w:ascii="Times New Roman" w:eastAsia="Times New Roman" w:hAnsi="Times New Roman" w:cs="Times New Roman"/>
                <w:kern w:val="0"/>
                <w:sz w:val="28"/>
                <w:szCs w:val="28"/>
                <w:lang w:eastAsia="pl-PL"/>
                <w14:ligatures w14:val="none"/>
              </w:rPr>
              <w:br/>
              <w:t>- nagroda z Funduszu Dyrektora,</w:t>
            </w:r>
            <w:r w:rsidRPr="00B97E7A">
              <w:rPr>
                <w:rFonts w:ascii="Times New Roman" w:eastAsia="Times New Roman" w:hAnsi="Times New Roman" w:cs="Times New Roman"/>
                <w:kern w:val="0"/>
                <w:sz w:val="28"/>
                <w:szCs w:val="28"/>
                <w:lang w:eastAsia="pl-PL"/>
                <w14:ligatures w14:val="none"/>
              </w:rPr>
              <w:br/>
              <w:t xml:space="preserve">- premia dla </w:t>
            </w:r>
            <w:proofErr w:type="spellStart"/>
            <w:r w:rsidRPr="00B97E7A">
              <w:rPr>
                <w:rFonts w:ascii="Times New Roman" w:eastAsia="Times New Roman" w:hAnsi="Times New Roman" w:cs="Times New Roman"/>
                <w:kern w:val="0"/>
                <w:sz w:val="28"/>
                <w:szCs w:val="28"/>
                <w:lang w:eastAsia="pl-PL"/>
                <w14:ligatures w14:val="none"/>
              </w:rPr>
              <w:t>odczytywaczy</w:t>
            </w:r>
            <w:proofErr w:type="spellEnd"/>
            <w:r w:rsidRPr="00B97E7A">
              <w:rPr>
                <w:rFonts w:ascii="Times New Roman" w:eastAsia="Times New Roman" w:hAnsi="Times New Roman" w:cs="Times New Roman"/>
                <w:kern w:val="0"/>
                <w:sz w:val="28"/>
                <w:szCs w:val="28"/>
                <w:lang w:eastAsia="pl-PL"/>
                <w14:ligatures w14:val="none"/>
              </w:rPr>
              <w:t xml:space="preserve"> – wyrażona kwotowo,</w:t>
            </w:r>
            <w:r w:rsidRPr="00B97E7A">
              <w:rPr>
                <w:rFonts w:ascii="Times New Roman" w:eastAsia="Times New Roman" w:hAnsi="Times New Roman" w:cs="Times New Roman"/>
                <w:kern w:val="0"/>
                <w:sz w:val="28"/>
                <w:szCs w:val="28"/>
                <w:lang w:eastAsia="pl-PL"/>
                <w14:ligatures w14:val="none"/>
              </w:rPr>
              <w:br/>
              <w:t>- odprawy (rentowa, emerytalna, pośmiertna, wojskowa),</w:t>
            </w:r>
            <w:r w:rsidRPr="00B97E7A">
              <w:rPr>
                <w:rFonts w:ascii="Times New Roman" w:eastAsia="Times New Roman" w:hAnsi="Times New Roman" w:cs="Times New Roman"/>
                <w:kern w:val="0"/>
                <w:sz w:val="28"/>
                <w:szCs w:val="28"/>
                <w:lang w:eastAsia="pl-PL"/>
                <w14:ligatures w14:val="none"/>
              </w:rPr>
              <w:br/>
              <w:t>- dopłata do najniższego wynagrodzenia krajowego,</w:t>
            </w:r>
            <w:r w:rsidRPr="00B97E7A">
              <w:rPr>
                <w:rFonts w:ascii="Times New Roman" w:eastAsia="Times New Roman" w:hAnsi="Times New Roman" w:cs="Times New Roman"/>
                <w:kern w:val="0"/>
                <w:sz w:val="28"/>
                <w:szCs w:val="28"/>
                <w:lang w:eastAsia="pl-PL"/>
                <w14:ligatures w14:val="none"/>
              </w:rPr>
              <w:br/>
              <w:t>- ekwiwalent za urlop,</w:t>
            </w:r>
            <w:r w:rsidRPr="00B97E7A">
              <w:rPr>
                <w:rFonts w:ascii="Times New Roman" w:eastAsia="Times New Roman" w:hAnsi="Times New Roman" w:cs="Times New Roman"/>
                <w:kern w:val="0"/>
                <w:sz w:val="28"/>
                <w:szCs w:val="28"/>
                <w:lang w:eastAsia="pl-PL"/>
                <w14:ligatures w14:val="none"/>
              </w:rPr>
              <w:br/>
              <w:t>- koszty zastępstwa,</w:t>
            </w:r>
            <w:r w:rsidRPr="00B97E7A">
              <w:rPr>
                <w:rFonts w:ascii="Times New Roman" w:eastAsia="Times New Roman" w:hAnsi="Times New Roman" w:cs="Times New Roman"/>
                <w:kern w:val="0"/>
                <w:sz w:val="28"/>
                <w:szCs w:val="28"/>
                <w:lang w:eastAsia="pl-PL"/>
                <w14:ligatures w14:val="none"/>
              </w:rPr>
              <w:br/>
              <w:t>- dodatek urlopowy,</w:t>
            </w:r>
            <w:r w:rsidRPr="00B97E7A">
              <w:rPr>
                <w:rFonts w:ascii="Times New Roman" w:eastAsia="Times New Roman" w:hAnsi="Times New Roman" w:cs="Times New Roman"/>
                <w:kern w:val="0"/>
                <w:sz w:val="28"/>
                <w:szCs w:val="28"/>
                <w:lang w:eastAsia="pl-PL"/>
                <w14:ligatures w14:val="none"/>
              </w:rPr>
              <w:br/>
              <w:t>- dodatek chorobowy,</w:t>
            </w:r>
            <w:r w:rsidRPr="00B97E7A">
              <w:rPr>
                <w:rFonts w:ascii="Times New Roman" w:eastAsia="Times New Roman" w:hAnsi="Times New Roman" w:cs="Times New Roman"/>
                <w:kern w:val="0"/>
                <w:sz w:val="28"/>
                <w:szCs w:val="28"/>
                <w:lang w:eastAsia="pl-PL"/>
                <w14:ligatures w14:val="none"/>
              </w:rPr>
              <w:br/>
              <w:t>- dodatek dla kasjera KZP,</w:t>
            </w:r>
            <w:r w:rsidRPr="00B97E7A">
              <w:rPr>
                <w:rFonts w:ascii="Times New Roman" w:eastAsia="Times New Roman" w:hAnsi="Times New Roman" w:cs="Times New Roman"/>
                <w:kern w:val="0"/>
                <w:sz w:val="28"/>
                <w:szCs w:val="28"/>
                <w:lang w:eastAsia="pl-PL"/>
                <w14:ligatures w14:val="none"/>
              </w:rPr>
              <w:br/>
              <w:t>- dodatek za hydrofornie,</w:t>
            </w:r>
            <w:r w:rsidRPr="00B97E7A">
              <w:rPr>
                <w:rFonts w:ascii="Times New Roman" w:eastAsia="Times New Roman" w:hAnsi="Times New Roman" w:cs="Times New Roman"/>
                <w:kern w:val="0"/>
                <w:sz w:val="28"/>
                <w:szCs w:val="28"/>
                <w:lang w:eastAsia="pl-PL"/>
                <w14:ligatures w14:val="none"/>
              </w:rPr>
              <w:br/>
              <w:t>- dodatek do posiłków,</w:t>
            </w:r>
            <w:r w:rsidRPr="00B97E7A">
              <w:rPr>
                <w:rFonts w:ascii="Times New Roman" w:eastAsia="Times New Roman" w:hAnsi="Times New Roman" w:cs="Times New Roman"/>
                <w:kern w:val="0"/>
                <w:sz w:val="28"/>
                <w:szCs w:val="28"/>
                <w:lang w:eastAsia="pl-PL"/>
                <w14:ligatures w14:val="none"/>
              </w:rPr>
              <w:br/>
              <w:t>- ekwiwalent za odzież,</w:t>
            </w:r>
            <w:r w:rsidRPr="00B97E7A">
              <w:rPr>
                <w:rFonts w:ascii="Times New Roman" w:eastAsia="Times New Roman" w:hAnsi="Times New Roman" w:cs="Times New Roman"/>
                <w:kern w:val="0"/>
                <w:sz w:val="28"/>
                <w:szCs w:val="28"/>
                <w:lang w:eastAsia="pl-PL"/>
                <w14:ligatures w14:val="none"/>
              </w:rPr>
              <w:br/>
              <w:t>- kilometrówka,</w:t>
            </w:r>
            <w:r w:rsidRPr="00B97E7A">
              <w:rPr>
                <w:rFonts w:ascii="Times New Roman" w:eastAsia="Times New Roman" w:hAnsi="Times New Roman" w:cs="Times New Roman"/>
                <w:kern w:val="0"/>
                <w:sz w:val="28"/>
                <w:szCs w:val="28"/>
                <w:lang w:eastAsia="pl-PL"/>
                <w14:ligatures w14:val="none"/>
              </w:rPr>
              <w:br/>
              <w:t>- ryczałt za pracę zdalną,</w:t>
            </w:r>
            <w:r w:rsidRPr="00B97E7A">
              <w:rPr>
                <w:rFonts w:ascii="Times New Roman" w:eastAsia="Times New Roman" w:hAnsi="Times New Roman" w:cs="Times New Roman"/>
                <w:kern w:val="0"/>
                <w:sz w:val="28"/>
                <w:szCs w:val="28"/>
                <w:lang w:eastAsia="pl-PL"/>
                <w14:ligatures w14:val="none"/>
              </w:rPr>
              <w:br/>
              <w:t>- używanie samochodu służbowego do celów prywatnych,</w:t>
            </w:r>
            <w:r w:rsidRPr="00B97E7A">
              <w:rPr>
                <w:rFonts w:ascii="Times New Roman" w:eastAsia="Times New Roman" w:hAnsi="Times New Roman" w:cs="Times New Roman"/>
                <w:kern w:val="0"/>
                <w:sz w:val="28"/>
                <w:szCs w:val="28"/>
                <w:lang w:eastAsia="pl-PL"/>
                <w14:ligatures w14:val="none"/>
              </w:rPr>
              <w:br/>
              <w:t>- świadczenia rzeczowe.</w:t>
            </w:r>
          </w:p>
        </w:tc>
        <w:tc>
          <w:tcPr>
            <w:tcW w:w="850" w:type="dxa"/>
            <w:tcBorders>
              <w:top w:val="nil"/>
              <w:left w:val="nil"/>
              <w:bottom w:val="single" w:sz="8" w:space="0" w:color="000000"/>
              <w:right w:val="single" w:sz="8" w:space="0" w:color="auto"/>
            </w:tcBorders>
            <w:shd w:val="clear" w:color="auto" w:fill="auto"/>
            <w:vAlign w:val="center"/>
            <w:hideMark/>
          </w:tcPr>
          <w:p w14:paraId="364BAC3F" w14:textId="77777777" w:rsidR="00B97E7A" w:rsidRPr="00B97E7A" w:rsidRDefault="00B97E7A" w:rsidP="00B97E7A">
            <w:pPr>
              <w:spacing w:after="0" w:line="240" w:lineRule="auto"/>
              <w:jc w:val="both"/>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72C8AA" w14:textId="77777777" w:rsidTr="00DE4B95">
        <w:trPr>
          <w:trHeight w:val="765"/>
        </w:trPr>
        <w:tc>
          <w:tcPr>
            <w:tcW w:w="921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0A49FF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definiowania składników płacowych na podstawie parametrów kadrowych.</w:t>
            </w:r>
          </w:p>
        </w:tc>
        <w:tc>
          <w:tcPr>
            <w:tcW w:w="850" w:type="dxa"/>
            <w:tcBorders>
              <w:top w:val="nil"/>
              <w:left w:val="nil"/>
              <w:bottom w:val="single" w:sz="8" w:space="0" w:color="auto"/>
              <w:right w:val="single" w:sz="8" w:space="0" w:color="auto"/>
            </w:tcBorders>
            <w:shd w:val="clear" w:color="auto" w:fill="auto"/>
            <w:vAlign w:val="center"/>
            <w:hideMark/>
          </w:tcPr>
          <w:p w14:paraId="4698B55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8281C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890E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Automatyczne wyliczanie rocznej nagrody motywacyjnej dla kierowników, ekwiwalentu za urlop, odpraw.</w:t>
            </w:r>
          </w:p>
        </w:tc>
        <w:tc>
          <w:tcPr>
            <w:tcW w:w="850" w:type="dxa"/>
            <w:tcBorders>
              <w:top w:val="nil"/>
              <w:left w:val="nil"/>
              <w:bottom w:val="single" w:sz="8" w:space="0" w:color="auto"/>
              <w:right w:val="single" w:sz="8" w:space="0" w:color="auto"/>
            </w:tcBorders>
            <w:shd w:val="clear" w:color="auto" w:fill="auto"/>
            <w:vAlign w:val="center"/>
            <w:hideMark/>
          </w:tcPr>
          <w:p w14:paraId="7DF1CE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F2DB99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B8C9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Generowanie list płac z uwzględnieniem zmian składników płacowych i wymiaru czasu pracy wprowadzanych w trakcie miesiąca.</w:t>
            </w:r>
          </w:p>
        </w:tc>
        <w:tc>
          <w:tcPr>
            <w:tcW w:w="850" w:type="dxa"/>
            <w:tcBorders>
              <w:top w:val="nil"/>
              <w:left w:val="nil"/>
              <w:bottom w:val="single" w:sz="8" w:space="0" w:color="auto"/>
              <w:right w:val="single" w:sz="8" w:space="0" w:color="auto"/>
            </w:tcBorders>
            <w:shd w:val="clear" w:color="auto" w:fill="auto"/>
            <w:vAlign w:val="center"/>
            <w:hideMark/>
          </w:tcPr>
          <w:p w14:paraId="7126F9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CF320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35F3E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 Automatyczne zaczytywanie danych wprowadzonych w karcie pracy pracownika.</w:t>
            </w:r>
          </w:p>
        </w:tc>
        <w:tc>
          <w:tcPr>
            <w:tcW w:w="850" w:type="dxa"/>
            <w:tcBorders>
              <w:top w:val="nil"/>
              <w:left w:val="nil"/>
              <w:bottom w:val="single" w:sz="8" w:space="0" w:color="auto"/>
              <w:right w:val="single" w:sz="8" w:space="0" w:color="auto"/>
            </w:tcBorders>
            <w:shd w:val="clear" w:color="auto" w:fill="auto"/>
            <w:vAlign w:val="center"/>
            <w:hideMark/>
          </w:tcPr>
          <w:p w14:paraId="68D9DBB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35010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BE3C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Automatyczne naliczanie kwoty rocznej nagrody motywacyjnej jaka będzie brana do podstawy naliczania zasiłku chorobowego.</w:t>
            </w:r>
          </w:p>
        </w:tc>
        <w:tc>
          <w:tcPr>
            <w:tcW w:w="850" w:type="dxa"/>
            <w:tcBorders>
              <w:top w:val="nil"/>
              <w:left w:val="nil"/>
              <w:bottom w:val="single" w:sz="8" w:space="0" w:color="auto"/>
              <w:right w:val="single" w:sz="8" w:space="0" w:color="auto"/>
            </w:tcBorders>
            <w:shd w:val="clear" w:color="auto" w:fill="auto"/>
            <w:vAlign w:val="center"/>
            <w:hideMark/>
          </w:tcPr>
          <w:p w14:paraId="10233F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36FC5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75201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Automatyczne potrącanie wyjść prywatnych w okresie rozliczeniowym.</w:t>
            </w:r>
          </w:p>
        </w:tc>
        <w:tc>
          <w:tcPr>
            <w:tcW w:w="850" w:type="dxa"/>
            <w:tcBorders>
              <w:top w:val="nil"/>
              <w:left w:val="nil"/>
              <w:bottom w:val="single" w:sz="8" w:space="0" w:color="auto"/>
              <w:right w:val="single" w:sz="8" w:space="0" w:color="auto"/>
            </w:tcBorders>
            <w:shd w:val="clear" w:color="auto" w:fill="auto"/>
            <w:vAlign w:val="center"/>
            <w:hideMark/>
          </w:tcPr>
          <w:p w14:paraId="0F5CF5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E115AA"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7A8D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Słownik systemu wynagrodzeń np.:</w:t>
            </w:r>
            <w:r w:rsidRPr="00B97E7A">
              <w:rPr>
                <w:rFonts w:ascii="Times New Roman" w:eastAsia="Times New Roman" w:hAnsi="Times New Roman" w:cs="Times New Roman"/>
                <w:kern w:val="0"/>
                <w:sz w:val="28"/>
                <w:szCs w:val="28"/>
                <w:lang w:eastAsia="pl-PL"/>
                <w14:ligatures w14:val="none"/>
              </w:rPr>
              <w:br/>
              <w:t>- lista podstawowa,</w:t>
            </w:r>
            <w:r w:rsidRPr="00B97E7A">
              <w:rPr>
                <w:rFonts w:ascii="Times New Roman" w:eastAsia="Times New Roman" w:hAnsi="Times New Roman" w:cs="Times New Roman"/>
                <w:kern w:val="0"/>
                <w:sz w:val="28"/>
                <w:szCs w:val="28"/>
                <w:lang w:eastAsia="pl-PL"/>
                <w14:ligatures w14:val="none"/>
              </w:rPr>
              <w:br/>
              <w:t>- lista dodatkowa,</w:t>
            </w:r>
            <w:r w:rsidRPr="00B97E7A">
              <w:rPr>
                <w:rFonts w:ascii="Times New Roman" w:eastAsia="Times New Roman" w:hAnsi="Times New Roman" w:cs="Times New Roman"/>
                <w:kern w:val="0"/>
                <w:sz w:val="28"/>
                <w:szCs w:val="28"/>
                <w:lang w:eastAsia="pl-PL"/>
                <w14:ligatures w14:val="none"/>
              </w:rPr>
              <w:br/>
              <w:t>- korekta wynagrodzeń,</w:t>
            </w:r>
            <w:r w:rsidRPr="00B97E7A">
              <w:rPr>
                <w:rFonts w:ascii="Times New Roman" w:eastAsia="Times New Roman" w:hAnsi="Times New Roman" w:cs="Times New Roman"/>
                <w:kern w:val="0"/>
                <w:sz w:val="28"/>
                <w:szCs w:val="28"/>
                <w:lang w:eastAsia="pl-PL"/>
                <w14:ligatures w14:val="none"/>
              </w:rPr>
              <w:br/>
              <w:t>- dodatkowe świadczenie pieniężne dla emeryta,</w:t>
            </w:r>
            <w:r w:rsidRPr="00B97E7A">
              <w:rPr>
                <w:rFonts w:ascii="Times New Roman" w:eastAsia="Times New Roman" w:hAnsi="Times New Roman" w:cs="Times New Roman"/>
                <w:kern w:val="0"/>
                <w:sz w:val="28"/>
                <w:szCs w:val="28"/>
                <w:lang w:eastAsia="pl-PL"/>
                <w14:ligatures w14:val="none"/>
              </w:rPr>
              <w:br/>
              <w:t>- korekty PPK,</w:t>
            </w:r>
            <w:r w:rsidRPr="00B97E7A">
              <w:rPr>
                <w:rFonts w:ascii="Times New Roman" w:eastAsia="Times New Roman" w:hAnsi="Times New Roman" w:cs="Times New Roman"/>
                <w:kern w:val="0"/>
                <w:sz w:val="28"/>
                <w:szCs w:val="28"/>
                <w:lang w:eastAsia="pl-PL"/>
                <w14:ligatures w14:val="none"/>
              </w:rPr>
              <w:br/>
              <w:t>- lista ZFŚS,</w:t>
            </w:r>
            <w:r w:rsidRPr="00B97E7A">
              <w:rPr>
                <w:rFonts w:ascii="Times New Roman" w:eastAsia="Times New Roman" w:hAnsi="Times New Roman" w:cs="Times New Roman"/>
                <w:kern w:val="0"/>
                <w:sz w:val="28"/>
                <w:szCs w:val="28"/>
                <w:lang w:eastAsia="pl-PL"/>
                <w14:ligatures w14:val="none"/>
              </w:rPr>
              <w:br/>
              <w:t>- kontrakt menedżerski,</w:t>
            </w:r>
            <w:r w:rsidRPr="00B97E7A">
              <w:rPr>
                <w:rFonts w:ascii="Times New Roman" w:eastAsia="Times New Roman" w:hAnsi="Times New Roman" w:cs="Times New Roman"/>
                <w:kern w:val="0"/>
                <w:sz w:val="28"/>
                <w:szCs w:val="28"/>
                <w:lang w:eastAsia="pl-PL"/>
                <w14:ligatures w14:val="none"/>
              </w:rPr>
              <w:br/>
              <w:t>- Rada Nadzorcza,</w:t>
            </w:r>
            <w:r w:rsidRPr="00B97E7A">
              <w:rPr>
                <w:rFonts w:ascii="Times New Roman" w:eastAsia="Times New Roman" w:hAnsi="Times New Roman" w:cs="Times New Roman"/>
                <w:kern w:val="0"/>
                <w:sz w:val="28"/>
                <w:szCs w:val="28"/>
                <w:lang w:eastAsia="pl-PL"/>
                <w14:ligatures w14:val="none"/>
              </w:rPr>
              <w:br/>
              <w:t>- umowy cywilno-prawne.</w:t>
            </w:r>
          </w:p>
        </w:tc>
        <w:tc>
          <w:tcPr>
            <w:tcW w:w="850" w:type="dxa"/>
            <w:tcBorders>
              <w:top w:val="nil"/>
              <w:left w:val="nil"/>
              <w:bottom w:val="single" w:sz="8" w:space="0" w:color="auto"/>
              <w:right w:val="single" w:sz="8" w:space="0" w:color="auto"/>
            </w:tcBorders>
            <w:shd w:val="clear" w:color="auto" w:fill="auto"/>
            <w:vAlign w:val="center"/>
            <w:hideMark/>
          </w:tcPr>
          <w:p w14:paraId="4C8080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A6FC19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091D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Automatyczne wyliczanie wynagrodzenia lub zasiłku chorobowego na podstawie zamkniętych kart pracy i kart zasiłkowych.</w:t>
            </w:r>
          </w:p>
        </w:tc>
        <w:tc>
          <w:tcPr>
            <w:tcW w:w="850" w:type="dxa"/>
            <w:tcBorders>
              <w:top w:val="nil"/>
              <w:left w:val="nil"/>
              <w:bottom w:val="single" w:sz="8" w:space="0" w:color="auto"/>
              <w:right w:val="single" w:sz="8" w:space="0" w:color="auto"/>
            </w:tcBorders>
            <w:shd w:val="clear" w:color="auto" w:fill="auto"/>
            <w:vAlign w:val="center"/>
            <w:hideMark/>
          </w:tcPr>
          <w:p w14:paraId="6ECF1B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F898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62C4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Kontrola asygnat poza listami płac.</w:t>
            </w:r>
          </w:p>
        </w:tc>
        <w:tc>
          <w:tcPr>
            <w:tcW w:w="850" w:type="dxa"/>
            <w:tcBorders>
              <w:top w:val="nil"/>
              <w:left w:val="nil"/>
              <w:bottom w:val="single" w:sz="8" w:space="0" w:color="auto"/>
              <w:right w:val="single" w:sz="8" w:space="0" w:color="auto"/>
            </w:tcBorders>
            <w:shd w:val="clear" w:color="auto" w:fill="auto"/>
            <w:vAlign w:val="center"/>
            <w:hideMark/>
          </w:tcPr>
          <w:p w14:paraId="04138C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718E10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FDFA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Generowanie dowolnej liczby list płac z uwzględnieniem potrąceń w ciągu miesiąca.</w:t>
            </w:r>
          </w:p>
        </w:tc>
        <w:tc>
          <w:tcPr>
            <w:tcW w:w="850" w:type="dxa"/>
            <w:tcBorders>
              <w:top w:val="nil"/>
              <w:left w:val="nil"/>
              <w:bottom w:val="single" w:sz="8" w:space="0" w:color="auto"/>
              <w:right w:val="single" w:sz="8" w:space="0" w:color="auto"/>
            </w:tcBorders>
            <w:shd w:val="clear" w:color="auto" w:fill="auto"/>
            <w:vAlign w:val="center"/>
            <w:hideMark/>
          </w:tcPr>
          <w:p w14:paraId="15902C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335AE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7DD4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Naliczanie list płac (podstawowej oraz dodatkowych) dla pojedynczych pracowników oraz dla wybranych grup pracowników wg dowolnego kryterium.</w:t>
            </w:r>
          </w:p>
        </w:tc>
        <w:tc>
          <w:tcPr>
            <w:tcW w:w="850" w:type="dxa"/>
            <w:tcBorders>
              <w:top w:val="nil"/>
              <w:left w:val="nil"/>
              <w:bottom w:val="single" w:sz="8" w:space="0" w:color="auto"/>
              <w:right w:val="single" w:sz="8" w:space="0" w:color="auto"/>
            </w:tcBorders>
            <w:shd w:val="clear" w:color="auto" w:fill="auto"/>
            <w:vAlign w:val="center"/>
            <w:hideMark/>
          </w:tcPr>
          <w:p w14:paraId="265523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B1C273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3221E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Sporządzanie list płac według słownika i nadawanie automatycznej numeracji kolejnej liście płac dla każdego typu niezależnie.</w:t>
            </w:r>
          </w:p>
        </w:tc>
        <w:tc>
          <w:tcPr>
            <w:tcW w:w="850" w:type="dxa"/>
            <w:tcBorders>
              <w:top w:val="nil"/>
              <w:left w:val="nil"/>
              <w:bottom w:val="single" w:sz="8" w:space="0" w:color="auto"/>
              <w:right w:val="single" w:sz="8" w:space="0" w:color="auto"/>
            </w:tcBorders>
            <w:shd w:val="clear" w:color="auto" w:fill="auto"/>
            <w:vAlign w:val="center"/>
            <w:hideMark/>
          </w:tcPr>
          <w:p w14:paraId="5A4CB0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0E2C3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1A625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wprowadzenia przez upoważnione osoby składników stałych bądź zmiennych na stały lub określony czas dla poszczególnych pracowników.</w:t>
            </w:r>
          </w:p>
        </w:tc>
        <w:tc>
          <w:tcPr>
            <w:tcW w:w="850" w:type="dxa"/>
            <w:tcBorders>
              <w:top w:val="nil"/>
              <w:left w:val="nil"/>
              <w:bottom w:val="single" w:sz="8" w:space="0" w:color="auto"/>
              <w:right w:val="single" w:sz="8" w:space="0" w:color="auto"/>
            </w:tcBorders>
            <w:shd w:val="clear" w:color="auto" w:fill="auto"/>
            <w:vAlign w:val="center"/>
            <w:hideMark/>
          </w:tcPr>
          <w:p w14:paraId="193AB3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48B94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C3B3B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wygenerowania listy płac dla byłego pracownika.</w:t>
            </w:r>
          </w:p>
        </w:tc>
        <w:tc>
          <w:tcPr>
            <w:tcW w:w="850" w:type="dxa"/>
            <w:tcBorders>
              <w:top w:val="nil"/>
              <w:left w:val="nil"/>
              <w:bottom w:val="single" w:sz="8" w:space="0" w:color="auto"/>
              <w:right w:val="single" w:sz="8" w:space="0" w:color="auto"/>
            </w:tcBorders>
            <w:shd w:val="clear" w:color="auto" w:fill="auto"/>
            <w:vAlign w:val="center"/>
            <w:hideMark/>
          </w:tcPr>
          <w:p w14:paraId="5CD25D0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52182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F9A94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drukowania wniosków premiowych do podpisu dla Zarządu.</w:t>
            </w:r>
          </w:p>
        </w:tc>
        <w:tc>
          <w:tcPr>
            <w:tcW w:w="850" w:type="dxa"/>
            <w:tcBorders>
              <w:top w:val="nil"/>
              <w:left w:val="nil"/>
              <w:bottom w:val="single" w:sz="8" w:space="0" w:color="auto"/>
              <w:right w:val="single" w:sz="8" w:space="0" w:color="auto"/>
            </w:tcBorders>
            <w:shd w:val="clear" w:color="auto" w:fill="auto"/>
            <w:vAlign w:val="center"/>
            <w:hideMark/>
          </w:tcPr>
          <w:p w14:paraId="39E098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AE8ACF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74A4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grupowego wprowadzania składnika płacowego.</w:t>
            </w:r>
          </w:p>
        </w:tc>
        <w:tc>
          <w:tcPr>
            <w:tcW w:w="850" w:type="dxa"/>
            <w:tcBorders>
              <w:top w:val="nil"/>
              <w:left w:val="nil"/>
              <w:bottom w:val="single" w:sz="8" w:space="0" w:color="auto"/>
              <w:right w:val="single" w:sz="8" w:space="0" w:color="auto"/>
            </w:tcBorders>
            <w:shd w:val="clear" w:color="auto" w:fill="auto"/>
            <w:vAlign w:val="center"/>
            <w:hideMark/>
          </w:tcPr>
          <w:p w14:paraId="15CED5B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52C8E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4122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grupowego zatwierdzania listy płac.</w:t>
            </w:r>
          </w:p>
        </w:tc>
        <w:tc>
          <w:tcPr>
            <w:tcW w:w="850" w:type="dxa"/>
            <w:tcBorders>
              <w:top w:val="nil"/>
              <w:left w:val="nil"/>
              <w:bottom w:val="single" w:sz="8" w:space="0" w:color="auto"/>
              <w:right w:val="single" w:sz="8" w:space="0" w:color="auto"/>
            </w:tcBorders>
            <w:shd w:val="clear" w:color="auto" w:fill="auto"/>
            <w:vAlign w:val="center"/>
            <w:hideMark/>
          </w:tcPr>
          <w:p w14:paraId="5CC3BDB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02C51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F276E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19. Konfigurowalne zestawienia zbiorcze z jednej lub kilku list płac w ramach jednostki lub osób z podziałem na wypłacone składniki i potrącenia.</w:t>
            </w:r>
          </w:p>
        </w:tc>
        <w:tc>
          <w:tcPr>
            <w:tcW w:w="850" w:type="dxa"/>
            <w:tcBorders>
              <w:top w:val="nil"/>
              <w:left w:val="nil"/>
              <w:bottom w:val="single" w:sz="8" w:space="0" w:color="auto"/>
              <w:right w:val="single" w:sz="8" w:space="0" w:color="auto"/>
            </w:tcBorders>
            <w:shd w:val="clear" w:color="auto" w:fill="auto"/>
            <w:vAlign w:val="center"/>
            <w:hideMark/>
          </w:tcPr>
          <w:p w14:paraId="66C830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69018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50A61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Automatyczne przenoszenie stałych składników wynagrodzenia na następny miesiąc.</w:t>
            </w:r>
          </w:p>
        </w:tc>
        <w:tc>
          <w:tcPr>
            <w:tcW w:w="850" w:type="dxa"/>
            <w:tcBorders>
              <w:top w:val="nil"/>
              <w:left w:val="nil"/>
              <w:bottom w:val="single" w:sz="8" w:space="0" w:color="auto"/>
              <w:right w:val="single" w:sz="8" w:space="0" w:color="auto"/>
            </w:tcBorders>
            <w:shd w:val="clear" w:color="auto" w:fill="auto"/>
            <w:vAlign w:val="center"/>
            <w:hideMark/>
          </w:tcPr>
          <w:p w14:paraId="33001E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AB247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F58D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Możliwość sporządzenia dowolnej ilości list płac w miesiącu dla pracownika.</w:t>
            </w:r>
          </w:p>
        </w:tc>
        <w:tc>
          <w:tcPr>
            <w:tcW w:w="850" w:type="dxa"/>
            <w:tcBorders>
              <w:top w:val="nil"/>
              <w:left w:val="nil"/>
              <w:bottom w:val="single" w:sz="8" w:space="0" w:color="auto"/>
              <w:right w:val="single" w:sz="8" w:space="0" w:color="auto"/>
            </w:tcBorders>
            <w:shd w:val="clear" w:color="auto" w:fill="auto"/>
            <w:vAlign w:val="center"/>
            <w:hideMark/>
          </w:tcPr>
          <w:p w14:paraId="67367E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40F21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A2AB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przeglądania i wydruku list archiwalnych.</w:t>
            </w:r>
          </w:p>
        </w:tc>
        <w:tc>
          <w:tcPr>
            <w:tcW w:w="850" w:type="dxa"/>
            <w:tcBorders>
              <w:top w:val="nil"/>
              <w:left w:val="nil"/>
              <w:bottom w:val="single" w:sz="8" w:space="0" w:color="auto"/>
              <w:right w:val="single" w:sz="8" w:space="0" w:color="auto"/>
            </w:tcBorders>
            <w:shd w:val="clear" w:color="auto" w:fill="auto"/>
            <w:vAlign w:val="center"/>
            <w:hideMark/>
          </w:tcPr>
          <w:p w14:paraId="6BA183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52CA3C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955BC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Generowanie komunikatów ostrzegawczych w trakcie naliczania płac i uniemożliwienie zapisu dla konkretnych sytuacji (np. przekroczenie płacy minimalnej, konieczność skorygowania premii gdy wystąpiła nieobecność niepłatna, informacja o Funduszu Pracy po przekroczeniu wieku 55/60, itp.).</w:t>
            </w:r>
          </w:p>
        </w:tc>
        <w:tc>
          <w:tcPr>
            <w:tcW w:w="850" w:type="dxa"/>
            <w:tcBorders>
              <w:top w:val="nil"/>
              <w:left w:val="nil"/>
              <w:bottom w:val="single" w:sz="8" w:space="0" w:color="auto"/>
              <w:right w:val="single" w:sz="8" w:space="0" w:color="auto"/>
            </w:tcBorders>
            <w:shd w:val="clear" w:color="auto" w:fill="auto"/>
            <w:vAlign w:val="center"/>
            <w:hideMark/>
          </w:tcPr>
          <w:p w14:paraId="58EE33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6ED4BA"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92D50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Funkcjonalność dokonywania korekt list płac (z zachowaniem historii pierwotnego naliczenia) do miesięcy zamkniętych (powodujące niedopłaty lub nadpłaty). Korekty powinny umożliwiać automatyczne wyliczenie dowolnych zmian dokonanych po wyliczeniu listy płac, które mają wpływ na wysokość naliczonego wynagrodzenia.</w:t>
            </w:r>
          </w:p>
        </w:tc>
        <w:tc>
          <w:tcPr>
            <w:tcW w:w="850" w:type="dxa"/>
            <w:tcBorders>
              <w:top w:val="nil"/>
              <w:left w:val="nil"/>
              <w:bottom w:val="single" w:sz="8" w:space="0" w:color="auto"/>
              <w:right w:val="single" w:sz="8" w:space="0" w:color="auto"/>
            </w:tcBorders>
            <w:shd w:val="clear" w:color="auto" w:fill="auto"/>
            <w:vAlign w:val="center"/>
            <w:hideMark/>
          </w:tcPr>
          <w:p w14:paraId="0802D33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24E5A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E3D0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Wyrównanie wynagrodzeń z dowolna datą.</w:t>
            </w:r>
          </w:p>
        </w:tc>
        <w:tc>
          <w:tcPr>
            <w:tcW w:w="850" w:type="dxa"/>
            <w:tcBorders>
              <w:top w:val="nil"/>
              <w:left w:val="nil"/>
              <w:bottom w:val="single" w:sz="8" w:space="0" w:color="auto"/>
              <w:right w:val="single" w:sz="8" w:space="0" w:color="auto"/>
            </w:tcBorders>
            <w:shd w:val="clear" w:color="auto" w:fill="auto"/>
            <w:vAlign w:val="center"/>
            <w:hideMark/>
          </w:tcPr>
          <w:p w14:paraId="03BA964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5F41F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8A53A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Zabezpieczenie przed ponownym wysłaniem przelewów do zapłaconych już list płac.</w:t>
            </w:r>
          </w:p>
        </w:tc>
        <w:tc>
          <w:tcPr>
            <w:tcW w:w="850" w:type="dxa"/>
            <w:tcBorders>
              <w:top w:val="nil"/>
              <w:left w:val="nil"/>
              <w:bottom w:val="single" w:sz="8" w:space="0" w:color="auto"/>
              <w:right w:val="single" w:sz="8" w:space="0" w:color="auto"/>
            </w:tcBorders>
            <w:shd w:val="clear" w:color="auto" w:fill="auto"/>
            <w:vAlign w:val="center"/>
            <w:hideMark/>
          </w:tcPr>
          <w:p w14:paraId="17B7819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51E1D2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5641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Wykazywanie na listach płac wszystkich zdefiniowanych składników płacowych.</w:t>
            </w:r>
          </w:p>
        </w:tc>
        <w:tc>
          <w:tcPr>
            <w:tcW w:w="850" w:type="dxa"/>
            <w:tcBorders>
              <w:top w:val="nil"/>
              <w:left w:val="nil"/>
              <w:bottom w:val="single" w:sz="8" w:space="0" w:color="auto"/>
              <w:right w:val="single" w:sz="8" w:space="0" w:color="auto"/>
            </w:tcBorders>
            <w:shd w:val="clear" w:color="auto" w:fill="auto"/>
            <w:vAlign w:val="center"/>
            <w:hideMark/>
          </w:tcPr>
          <w:p w14:paraId="551516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2F823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522A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Automatyczne podsumowanie listy płac zawierające sumy wszystkich składników wynagrodzenia, potrąceń oraz składek ZUS płaconych przez pracodawcę oraz możliwość parametryzacji wydruku.</w:t>
            </w:r>
          </w:p>
        </w:tc>
        <w:tc>
          <w:tcPr>
            <w:tcW w:w="850" w:type="dxa"/>
            <w:tcBorders>
              <w:top w:val="nil"/>
              <w:left w:val="nil"/>
              <w:bottom w:val="single" w:sz="8" w:space="0" w:color="auto"/>
              <w:right w:val="single" w:sz="8" w:space="0" w:color="auto"/>
            </w:tcBorders>
            <w:shd w:val="clear" w:color="auto" w:fill="auto"/>
            <w:vAlign w:val="center"/>
            <w:hideMark/>
          </w:tcPr>
          <w:p w14:paraId="5E2EB05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C1FD11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A39A4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29. Wydruk akceptacji wypłaty, miejsce na podpis osoby sporządzającej, sprawdzającej, Głównego Księgowego i Członka Zarządu.</w:t>
            </w:r>
          </w:p>
        </w:tc>
        <w:tc>
          <w:tcPr>
            <w:tcW w:w="850" w:type="dxa"/>
            <w:tcBorders>
              <w:top w:val="nil"/>
              <w:left w:val="nil"/>
              <w:bottom w:val="single" w:sz="8" w:space="0" w:color="auto"/>
              <w:right w:val="single" w:sz="8" w:space="0" w:color="auto"/>
            </w:tcBorders>
            <w:shd w:val="clear" w:color="auto" w:fill="auto"/>
            <w:vAlign w:val="center"/>
            <w:hideMark/>
          </w:tcPr>
          <w:p w14:paraId="146259E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F3F72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A5B8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Każda lista płac musi zawierać numer, oznaczenie miesiąca którego dotyczy i datę sporządzenia.</w:t>
            </w:r>
          </w:p>
        </w:tc>
        <w:tc>
          <w:tcPr>
            <w:tcW w:w="850" w:type="dxa"/>
            <w:tcBorders>
              <w:top w:val="nil"/>
              <w:left w:val="nil"/>
              <w:bottom w:val="single" w:sz="8" w:space="0" w:color="auto"/>
              <w:right w:val="single" w:sz="8" w:space="0" w:color="auto"/>
            </w:tcBorders>
            <w:shd w:val="clear" w:color="auto" w:fill="auto"/>
            <w:vAlign w:val="center"/>
            <w:hideMark/>
          </w:tcPr>
          <w:p w14:paraId="6FA988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95603E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5D52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Oddzielne drukowanie list płac zgodnie ze słownikiem systemu wynagrodzeń.</w:t>
            </w:r>
          </w:p>
        </w:tc>
        <w:tc>
          <w:tcPr>
            <w:tcW w:w="850" w:type="dxa"/>
            <w:tcBorders>
              <w:top w:val="nil"/>
              <w:left w:val="nil"/>
              <w:bottom w:val="single" w:sz="8" w:space="0" w:color="auto"/>
              <w:right w:val="single" w:sz="8" w:space="0" w:color="auto"/>
            </w:tcBorders>
            <w:shd w:val="clear" w:color="auto" w:fill="auto"/>
            <w:vAlign w:val="center"/>
            <w:hideMark/>
          </w:tcPr>
          <w:p w14:paraId="1637E4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BA758D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E1A5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Możliwość zbiorczego wydruku list podstawowych.</w:t>
            </w:r>
          </w:p>
        </w:tc>
        <w:tc>
          <w:tcPr>
            <w:tcW w:w="850" w:type="dxa"/>
            <w:tcBorders>
              <w:top w:val="nil"/>
              <w:left w:val="nil"/>
              <w:bottom w:val="single" w:sz="8" w:space="0" w:color="auto"/>
              <w:right w:val="single" w:sz="8" w:space="0" w:color="auto"/>
            </w:tcBorders>
            <w:shd w:val="clear" w:color="auto" w:fill="auto"/>
            <w:vAlign w:val="center"/>
            <w:hideMark/>
          </w:tcPr>
          <w:p w14:paraId="328DF97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085A0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08F6F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33. Możliwość przypisania pracownikowi karty dofinansowania posiłków z wyborem karty przedpłaconej (zewnętrznej) lub karty pracowniczej (wewnętrznej).</w:t>
            </w:r>
          </w:p>
        </w:tc>
        <w:tc>
          <w:tcPr>
            <w:tcW w:w="850" w:type="dxa"/>
            <w:tcBorders>
              <w:top w:val="nil"/>
              <w:left w:val="nil"/>
              <w:bottom w:val="single" w:sz="8" w:space="0" w:color="auto"/>
              <w:right w:val="single" w:sz="8" w:space="0" w:color="auto"/>
            </w:tcBorders>
            <w:shd w:val="clear" w:color="auto" w:fill="auto"/>
            <w:vAlign w:val="center"/>
            <w:hideMark/>
          </w:tcPr>
          <w:p w14:paraId="28F661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E138B1E"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736E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34. Obsługa dofinansowania do posiłków dla pracowników – naliczanie dofinansowania na podstawie określonych parametrów (uwzględniających czas przepracowany i absencje) oraz ewidencjonowanie kwoty dofinansowania w Systemie w powiązaniu z kartą pracowniczą RCP lub przekazywanie danych (plik txt) do firmy zewnętrznej obsługującej karty „przedpłacone”.</w:t>
            </w:r>
          </w:p>
        </w:tc>
        <w:tc>
          <w:tcPr>
            <w:tcW w:w="850" w:type="dxa"/>
            <w:tcBorders>
              <w:top w:val="nil"/>
              <w:left w:val="nil"/>
              <w:bottom w:val="single" w:sz="8" w:space="0" w:color="auto"/>
              <w:right w:val="single" w:sz="8" w:space="0" w:color="auto"/>
            </w:tcBorders>
            <w:shd w:val="clear" w:color="auto" w:fill="auto"/>
            <w:vAlign w:val="center"/>
            <w:hideMark/>
          </w:tcPr>
          <w:p w14:paraId="3D69C76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06A7839"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CCC9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35. Obsługa wykorzystania dofinansowania z kart pracowniczych RCP w zakładowym bufecie – ewidencjonowanie w Systemie „zapłat” za posiłki, możliwość korygowania błędnych zapisów oraz raportowanie naliczeń i ich wykorzystania w dowolnym zakresie.</w:t>
            </w:r>
          </w:p>
        </w:tc>
        <w:tc>
          <w:tcPr>
            <w:tcW w:w="850" w:type="dxa"/>
            <w:tcBorders>
              <w:top w:val="nil"/>
              <w:left w:val="nil"/>
              <w:bottom w:val="single" w:sz="8" w:space="0" w:color="auto"/>
              <w:right w:val="single" w:sz="8" w:space="0" w:color="auto"/>
            </w:tcBorders>
            <w:shd w:val="clear" w:color="auto" w:fill="auto"/>
            <w:vAlign w:val="center"/>
            <w:hideMark/>
          </w:tcPr>
          <w:p w14:paraId="4158380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EA9FC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93236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Możliwość wpisywania potrąceń kwotowych lub procentowych na okresy przyszłe.</w:t>
            </w:r>
          </w:p>
        </w:tc>
        <w:tc>
          <w:tcPr>
            <w:tcW w:w="850" w:type="dxa"/>
            <w:tcBorders>
              <w:top w:val="nil"/>
              <w:left w:val="nil"/>
              <w:bottom w:val="single" w:sz="8" w:space="0" w:color="auto"/>
              <w:right w:val="single" w:sz="8" w:space="0" w:color="auto"/>
            </w:tcBorders>
            <w:shd w:val="clear" w:color="auto" w:fill="auto"/>
            <w:vAlign w:val="center"/>
            <w:hideMark/>
          </w:tcPr>
          <w:p w14:paraId="0AC335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1A4C5A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00F7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Wydruk odcinków płacowych z możliwością dostosowania go przez użytkownika do własnych potrzeb.</w:t>
            </w:r>
          </w:p>
        </w:tc>
        <w:tc>
          <w:tcPr>
            <w:tcW w:w="850" w:type="dxa"/>
            <w:tcBorders>
              <w:top w:val="nil"/>
              <w:left w:val="nil"/>
              <w:bottom w:val="single" w:sz="8" w:space="0" w:color="auto"/>
              <w:right w:val="single" w:sz="8" w:space="0" w:color="auto"/>
            </w:tcBorders>
            <w:shd w:val="clear" w:color="auto" w:fill="auto"/>
            <w:vAlign w:val="center"/>
            <w:hideMark/>
          </w:tcPr>
          <w:p w14:paraId="191E11F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053CAC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3FF1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Prowadzenie osobowych kartotek płacowych w sposób przejrzysty z uwzględnieniem obowiązujących składników płac.</w:t>
            </w:r>
          </w:p>
        </w:tc>
        <w:tc>
          <w:tcPr>
            <w:tcW w:w="850" w:type="dxa"/>
            <w:tcBorders>
              <w:top w:val="nil"/>
              <w:left w:val="nil"/>
              <w:bottom w:val="single" w:sz="8" w:space="0" w:color="auto"/>
              <w:right w:val="single" w:sz="8" w:space="0" w:color="auto"/>
            </w:tcBorders>
            <w:shd w:val="clear" w:color="auto" w:fill="auto"/>
            <w:vAlign w:val="center"/>
            <w:hideMark/>
          </w:tcPr>
          <w:p w14:paraId="452B7C7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AEF2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965E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39. Automatyczne sumowanie kolumn i wierszy na kartotekach wynagrodzeń.</w:t>
            </w:r>
          </w:p>
        </w:tc>
        <w:tc>
          <w:tcPr>
            <w:tcW w:w="850" w:type="dxa"/>
            <w:tcBorders>
              <w:top w:val="nil"/>
              <w:left w:val="nil"/>
              <w:bottom w:val="single" w:sz="8" w:space="0" w:color="auto"/>
              <w:right w:val="single" w:sz="8" w:space="0" w:color="auto"/>
            </w:tcBorders>
            <w:shd w:val="clear" w:color="auto" w:fill="auto"/>
            <w:vAlign w:val="center"/>
            <w:hideMark/>
          </w:tcPr>
          <w:p w14:paraId="38AB8F8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8299D1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8DC65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40. Podgląd kartoteki historii naliczeń.</w:t>
            </w:r>
          </w:p>
        </w:tc>
        <w:tc>
          <w:tcPr>
            <w:tcW w:w="850" w:type="dxa"/>
            <w:tcBorders>
              <w:top w:val="nil"/>
              <w:left w:val="nil"/>
              <w:bottom w:val="single" w:sz="8" w:space="0" w:color="auto"/>
              <w:right w:val="single" w:sz="8" w:space="0" w:color="auto"/>
            </w:tcBorders>
            <w:shd w:val="clear" w:color="auto" w:fill="auto"/>
            <w:vAlign w:val="center"/>
            <w:hideMark/>
          </w:tcPr>
          <w:p w14:paraId="0C0007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620501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7B5F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Możliwość przeglądania i wydruku wynagrodzeń z poprzednich okresów.</w:t>
            </w:r>
          </w:p>
        </w:tc>
        <w:tc>
          <w:tcPr>
            <w:tcW w:w="850" w:type="dxa"/>
            <w:tcBorders>
              <w:top w:val="nil"/>
              <w:left w:val="nil"/>
              <w:bottom w:val="single" w:sz="8" w:space="0" w:color="auto"/>
              <w:right w:val="single" w:sz="8" w:space="0" w:color="auto"/>
            </w:tcBorders>
            <w:shd w:val="clear" w:color="auto" w:fill="auto"/>
            <w:vAlign w:val="center"/>
            <w:hideMark/>
          </w:tcPr>
          <w:p w14:paraId="6AFA79D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9F69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AE7F3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Możliwość wydruku karty zasiłkowej.</w:t>
            </w:r>
          </w:p>
        </w:tc>
        <w:tc>
          <w:tcPr>
            <w:tcW w:w="850" w:type="dxa"/>
            <w:tcBorders>
              <w:top w:val="nil"/>
              <w:left w:val="nil"/>
              <w:bottom w:val="single" w:sz="8" w:space="0" w:color="auto"/>
              <w:right w:val="single" w:sz="8" w:space="0" w:color="auto"/>
            </w:tcBorders>
            <w:shd w:val="clear" w:color="auto" w:fill="auto"/>
            <w:vAlign w:val="center"/>
            <w:hideMark/>
          </w:tcPr>
          <w:p w14:paraId="015345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AC4CBFE"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9DEC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obliczania średnich chorobowych stanowiących podstawę do wyliczenia wynagrodzenia, zasiłku za czas choroby i świadczenia rehabilitacyjnego, uwzględniając wartości składników wchodzących w dopełnieniu i w faktycznie wypłaconej kwocie oraz składników wypłacanych rocznie.</w:t>
            </w:r>
          </w:p>
        </w:tc>
        <w:tc>
          <w:tcPr>
            <w:tcW w:w="850" w:type="dxa"/>
            <w:tcBorders>
              <w:top w:val="nil"/>
              <w:left w:val="nil"/>
              <w:bottom w:val="single" w:sz="8" w:space="0" w:color="auto"/>
              <w:right w:val="single" w:sz="8" w:space="0" w:color="auto"/>
            </w:tcBorders>
            <w:shd w:val="clear" w:color="auto" w:fill="auto"/>
            <w:vAlign w:val="center"/>
            <w:hideMark/>
          </w:tcPr>
          <w:p w14:paraId="0D784A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6DF5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D2B4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44. Wydruk asygnaty zasiłkowej.</w:t>
            </w:r>
          </w:p>
        </w:tc>
        <w:tc>
          <w:tcPr>
            <w:tcW w:w="850" w:type="dxa"/>
            <w:tcBorders>
              <w:top w:val="nil"/>
              <w:left w:val="nil"/>
              <w:bottom w:val="single" w:sz="8" w:space="0" w:color="auto"/>
              <w:right w:val="single" w:sz="8" w:space="0" w:color="auto"/>
            </w:tcBorders>
            <w:shd w:val="clear" w:color="auto" w:fill="auto"/>
            <w:vAlign w:val="center"/>
            <w:hideMark/>
          </w:tcPr>
          <w:p w14:paraId="1057FC1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0687F02"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6E8F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45. Generowanie i wydruk zaświadczeń np.:</w:t>
            </w:r>
            <w:r w:rsidRPr="00B97E7A">
              <w:rPr>
                <w:rFonts w:ascii="Times New Roman" w:eastAsia="Times New Roman" w:hAnsi="Times New Roman" w:cs="Times New Roman"/>
                <w:kern w:val="0"/>
                <w:sz w:val="28"/>
                <w:szCs w:val="28"/>
                <w:lang w:eastAsia="pl-PL"/>
                <w14:ligatures w14:val="none"/>
              </w:rPr>
              <w:br/>
              <w:t>- o zatrudnieniu i wynagrodzeniu ERP7,</w:t>
            </w:r>
            <w:r w:rsidRPr="00B97E7A">
              <w:rPr>
                <w:rFonts w:ascii="Times New Roman" w:eastAsia="Times New Roman" w:hAnsi="Times New Roman" w:cs="Times New Roman"/>
                <w:kern w:val="0"/>
                <w:sz w:val="28"/>
                <w:szCs w:val="28"/>
                <w:lang w:eastAsia="pl-PL"/>
                <w14:ligatures w14:val="none"/>
              </w:rPr>
              <w:br/>
              <w:t>- załącznik ZUS - ERp7,</w:t>
            </w:r>
            <w:r w:rsidRPr="00B97E7A">
              <w:rPr>
                <w:rFonts w:ascii="Times New Roman" w:eastAsia="Times New Roman" w:hAnsi="Times New Roman" w:cs="Times New Roman"/>
                <w:kern w:val="0"/>
                <w:sz w:val="28"/>
                <w:szCs w:val="28"/>
                <w:lang w:eastAsia="pl-PL"/>
                <w14:ligatures w14:val="none"/>
              </w:rPr>
              <w:br/>
              <w:t>- ZUS - ZNp7,</w:t>
            </w:r>
            <w:r w:rsidRPr="00B97E7A">
              <w:rPr>
                <w:rFonts w:ascii="Times New Roman" w:eastAsia="Times New Roman" w:hAnsi="Times New Roman" w:cs="Times New Roman"/>
                <w:kern w:val="0"/>
                <w:sz w:val="28"/>
                <w:szCs w:val="28"/>
                <w:lang w:eastAsia="pl-PL"/>
                <w14:ligatures w14:val="none"/>
              </w:rPr>
              <w:br/>
              <w:t>- płatnika składek Z-3.</w:t>
            </w:r>
          </w:p>
        </w:tc>
        <w:tc>
          <w:tcPr>
            <w:tcW w:w="850" w:type="dxa"/>
            <w:tcBorders>
              <w:top w:val="nil"/>
              <w:left w:val="nil"/>
              <w:bottom w:val="single" w:sz="8" w:space="0" w:color="auto"/>
              <w:right w:val="single" w:sz="8" w:space="0" w:color="auto"/>
            </w:tcBorders>
            <w:shd w:val="clear" w:color="auto" w:fill="auto"/>
            <w:vAlign w:val="center"/>
            <w:hideMark/>
          </w:tcPr>
          <w:p w14:paraId="37778C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F01802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DD32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46. Możliwość sporządzenia rocznego rozliczenia składek na ubezpieczenia ZUS </w:t>
            </w:r>
            <w:proofErr w:type="spellStart"/>
            <w:r w:rsidRPr="00B97E7A">
              <w:rPr>
                <w:rFonts w:ascii="Times New Roman" w:eastAsia="Times New Roman" w:hAnsi="Times New Roman" w:cs="Times New Roman"/>
                <w:kern w:val="0"/>
                <w:sz w:val="28"/>
                <w:szCs w:val="28"/>
                <w:lang w:eastAsia="pl-PL"/>
                <w14:ligatures w14:val="none"/>
              </w:rPr>
              <w:t>IMiR</w:t>
            </w:r>
            <w:proofErr w:type="spellEnd"/>
            <w:r w:rsidRPr="00B97E7A">
              <w:rPr>
                <w:rFonts w:ascii="Times New Roman" w:eastAsia="Times New Roman" w:hAnsi="Times New Roman" w:cs="Times New Roman"/>
                <w:kern w:val="0"/>
                <w:sz w:val="28"/>
                <w:szCs w:val="28"/>
                <w:lang w:eastAsia="pl-PL"/>
                <w14:ligatures w14:val="none"/>
              </w:rPr>
              <w:t>, wydruk osób ubezpieczonych na dany rok.</w:t>
            </w:r>
          </w:p>
        </w:tc>
        <w:tc>
          <w:tcPr>
            <w:tcW w:w="850" w:type="dxa"/>
            <w:tcBorders>
              <w:top w:val="nil"/>
              <w:left w:val="nil"/>
              <w:bottom w:val="single" w:sz="8" w:space="0" w:color="auto"/>
              <w:right w:val="single" w:sz="8" w:space="0" w:color="auto"/>
            </w:tcBorders>
            <w:shd w:val="clear" w:color="auto" w:fill="auto"/>
            <w:vAlign w:val="center"/>
            <w:hideMark/>
          </w:tcPr>
          <w:p w14:paraId="17F7F8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566C56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9D3D5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47. Pełna współpraca z programem PŁATNIK w zakresie dokumentów rozliczeniowych i zgłoszeniowych.</w:t>
            </w:r>
          </w:p>
        </w:tc>
        <w:tc>
          <w:tcPr>
            <w:tcW w:w="850" w:type="dxa"/>
            <w:tcBorders>
              <w:top w:val="nil"/>
              <w:left w:val="nil"/>
              <w:bottom w:val="single" w:sz="8" w:space="0" w:color="auto"/>
              <w:right w:val="single" w:sz="8" w:space="0" w:color="auto"/>
            </w:tcBorders>
            <w:shd w:val="clear" w:color="auto" w:fill="auto"/>
            <w:vAlign w:val="center"/>
            <w:hideMark/>
          </w:tcPr>
          <w:p w14:paraId="06480E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AA675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B0DF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48. Możliwość eksportu danych oraz raportów z programu do np. edytora tekstu MS Word, arkusza kalkulacyjnego MS Excel, dokumentu PDF.</w:t>
            </w:r>
          </w:p>
        </w:tc>
        <w:tc>
          <w:tcPr>
            <w:tcW w:w="850" w:type="dxa"/>
            <w:tcBorders>
              <w:top w:val="nil"/>
              <w:left w:val="nil"/>
              <w:bottom w:val="single" w:sz="8" w:space="0" w:color="auto"/>
              <w:right w:val="single" w:sz="8" w:space="0" w:color="auto"/>
            </w:tcBorders>
            <w:shd w:val="clear" w:color="auto" w:fill="auto"/>
            <w:vAlign w:val="center"/>
            <w:hideMark/>
          </w:tcPr>
          <w:p w14:paraId="767F24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8E37FAA" w14:textId="77777777" w:rsidTr="00B97E7A">
        <w:trPr>
          <w:trHeight w:val="4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24AD2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49. Możliwość odwzorowania reguł podlegania ubezpieczeniom w przypadku zatrudnienia i w przypadku zbiegu uprawnień:</w:t>
            </w:r>
            <w:r w:rsidRPr="00B97E7A">
              <w:rPr>
                <w:rFonts w:ascii="Times New Roman" w:eastAsia="Times New Roman" w:hAnsi="Times New Roman" w:cs="Times New Roman"/>
                <w:kern w:val="0"/>
                <w:sz w:val="28"/>
                <w:szCs w:val="28"/>
                <w:lang w:eastAsia="pl-PL"/>
                <w14:ligatures w14:val="none"/>
              </w:rPr>
              <w:br/>
              <w:t>- prowadzenie imiennej kartoteki zasiłków z ewidencją zwolnień lekarskich, urlopów wychowawczych wszystkich zasiłków z wyliczeniem wynagrodzenia za ten okres,</w:t>
            </w:r>
            <w:r w:rsidRPr="00B97E7A">
              <w:rPr>
                <w:rFonts w:ascii="Times New Roman" w:eastAsia="Times New Roman" w:hAnsi="Times New Roman" w:cs="Times New Roman"/>
                <w:kern w:val="0"/>
                <w:sz w:val="28"/>
                <w:szCs w:val="28"/>
                <w:lang w:eastAsia="pl-PL"/>
                <w14:ligatures w14:val="none"/>
              </w:rPr>
              <w:br/>
              <w:t>- przygotowanie danych do programu PŁATNIK,</w:t>
            </w:r>
            <w:r w:rsidRPr="00B97E7A">
              <w:rPr>
                <w:rFonts w:ascii="Times New Roman" w:eastAsia="Times New Roman" w:hAnsi="Times New Roman" w:cs="Times New Roman"/>
                <w:kern w:val="0"/>
                <w:sz w:val="28"/>
                <w:szCs w:val="28"/>
                <w:lang w:eastAsia="pl-PL"/>
                <w14:ligatures w14:val="none"/>
              </w:rPr>
              <w:br/>
              <w:t>- możliwość przygotowania zestawienia składek ZUS,</w:t>
            </w:r>
            <w:r w:rsidRPr="00B97E7A">
              <w:rPr>
                <w:rFonts w:ascii="Times New Roman" w:eastAsia="Times New Roman" w:hAnsi="Times New Roman" w:cs="Times New Roman"/>
                <w:kern w:val="0"/>
                <w:sz w:val="28"/>
                <w:szCs w:val="28"/>
                <w:lang w:eastAsia="pl-PL"/>
                <w14:ligatures w14:val="none"/>
              </w:rPr>
              <w:br/>
              <w:t>- naliczanie składek ZUS zgodnie z obowiązującymi przepisami prawa,</w:t>
            </w:r>
            <w:r w:rsidRPr="00B97E7A">
              <w:rPr>
                <w:rFonts w:ascii="Times New Roman" w:eastAsia="Times New Roman" w:hAnsi="Times New Roman" w:cs="Times New Roman"/>
                <w:kern w:val="0"/>
                <w:sz w:val="28"/>
                <w:szCs w:val="28"/>
                <w:lang w:eastAsia="pl-PL"/>
                <w14:ligatures w14:val="none"/>
              </w:rPr>
              <w:br/>
              <w:t>- naliczanie zasiłków i wynagrodzeń chorobowych zgodnie z obowiązującymi przepisami ZUS,</w:t>
            </w:r>
            <w:r w:rsidRPr="00B97E7A">
              <w:rPr>
                <w:rFonts w:ascii="Times New Roman" w:eastAsia="Times New Roman" w:hAnsi="Times New Roman" w:cs="Times New Roman"/>
                <w:kern w:val="0"/>
                <w:sz w:val="28"/>
                <w:szCs w:val="28"/>
                <w:lang w:eastAsia="pl-PL"/>
                <w14:ligatures w14:val="none"/>
              </w:rPr>
              <w:br/>
              <w:t>- możliwość automatycznej zmiany podstawy do naliczania wynagrodzenia oraz zasiłków chorobowych, sumowanie okresów choroby.</w:t>
            </w:r>
          </w:p>
        </w:tc>
        <w:tc>
          <w:tcPr>
            <w:tcW w:w="850" w:type="dxa"/>
            <w:tcBorders>
              <w:top w:val="nil"/>
              <w:left w:val="nil"/>
              <w:bottom w:val="single" w:sz="8" w:space="0" w:color="auto"/>
              <w:right w:val="single" w:sz="8" w:space="0" w:color="auto"/>
            </w:tcBorders>
            <w:shd w:val="clear" w:color="auto" w:fill="auto"/>
            <w:vAlign w:val="center"/>
            <w:hideMark/>
          </w:tcPr>
          <w:p w14:paraId="1B6F53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DDF9A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A563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50. Kontrolowanie ilości dni zwolnień chorobowych oraz zasiłków opiekuńczych, ewidencjonowanie okresu wynagrodzenia chorobowego i zasiłku chorobowego – informacje o przekroczeniu 33 dni zwolnienia lekarskiego, a także dla osób powyżej 50 roku życia 14 dni zwolnienia.</w:t>
            </w:r>
          </w:p>
        </w:tc>
        <w:tc>
          <w:tcPr>
            <w:tcW w:w="850" w:type="dxa"/>
            <w:tcBorders>
              <w:top w:val="nil"/>
              <w:left w:val="nil"/>
              <w:bottom w:val="single" w:sz="8" w:space="0" w:color="auto"/>
              <w:right w:val="single" w:sz="8" w:space="0" w:color="auto"/>
            </w:tcBorders>
            <w:shd w:val="clear" w:color="auto" w:fill="auto"/>
            <w:vAlign w:val="center"/>
            <w:hideMark/>
          </w:tcPr>
          <w:p w14:paraId="65EC5D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390FD5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BFD1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Informacja o upływie 182 dni lub 270 dni zasiłku chorobowego.</w:t>
            </w:r>
          </w:p>
        </w:tc>
        <w:tc>
          <w:tcPr>
            <w:tcW w:w="850" w:type="dxa"/>
            <w:tcBorders>
              <w:top w:val="nil"/>
              <w:left w:val="nil"/>
              <w:bottom w:val="single" w:sz="8" w:space="0" w:color="auto"/>
              <w:right w:val="single" w:sz="8" w:space="0" w:color="auto"/>
            </w:tcBorders>
            <w:shd w:val="clear" w:color="auto" w:fill="auto"/>
            <w:vAlign w:val="center"/>
            <w:hideMark/>
          </w:tcPr>
          <w:p w14:paraId="2ECCD8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A8D57D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5306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Kontrola obowiązku płacenia składki na FP powyżej 55/60 lat, po urlopie macierzyńskim.</w:t>
            </w:r>
          </w:p>
        </w:tc>
        <w:tc>
          <w:tcPr>
            <w:tcW w:w="850" w:type="dxa"/>
            <w:tcBorders>
              <w:top w:val="nil"/>
              <w:left w:val="nil"/>
              <w:bottom w:val="single" w:sz="8" w:space="0" w:color="auto"/>
              <w:right w:val="single" w:sz="8" w:space="0" w:color="auto"/>
            </w:tcBorders>
            <w:shd w:val="clear" w:color="auto" w:fill="auto"/>
            <w:vAlign w:val="center"/>
            <w:hideMark/>
          </w:tcPr>
          <w:p w14:paraId="481E39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27E756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B70E0F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Automatyczne śledzenie kwoty rocznego ograniczenia podstawy wymiaru składek na ubezpieczenie emerytalno-rentowe – 30-krotność przeciętnego miesięcznego wynagrodzenia z bieżącą ewidencją podstawy ubezpieczenia.</w:t>
            </w:r>
          </w:p>
        </w:tc>
        <w:tc>
          <w:tcPr>
            <w:tcW w:w="850" w:type="dxa"/>
            <w:tcBorders>
              <w:top w:val="nil"/>
              <w:left w:val="nil"/>
              <w:bottom w:val="single" w:sz="8" w:space="0" w:color="auto"/>
              <w:right w:val="single" w:sz="8" w:space="0" w:color="auto"/>
            </w:tcBorders>
            <w:shd w:val="clear" w:color="auto" w:fill="auto"/>
            <w:vAlign w:val="center"/>
            <w:hideMark/>
          </w:tcPr>
          <w:p w14:paraId="24739D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694C6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6A9DE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54. Kontrola naliczania składek przy kilku umowach zlecenia.</w:t>
            </w:r>
          </w:p>
        </w:tc>
        <w:tc>
          <w:tcPr>
            <w:tcW w:w="850" w:type="dxa"/>
            <w:tcBorders>
              <w:top w:val="nil"/>
              <w:left w:val="nil"/>
              <w:bottom w:val="single" w:sz="8" w:space="0" w:color="auto"/>
              <w:right w:val="single" w:sz="8" w:space="0" w:color="auto"/>
            </w:tcBorders>
            <w:shd w:val="clear" w:color="auto" w:fill="auto"/>
            <w:vAlign w:val="center"/>
            <w:hideMark/>
          </w:tcPr>
          <w:p w14:paraId="3D3864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7A721B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A5BF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55. Naliczanie podatku dochodowego z uwzględnieniem ulg podatkowych, zwolnień, potrąceń.</w:t>
            </w:r>
          </w:p>
        </w:tc>
        <w:tc>
          <w:tcPr>
            <w:tcW w:w="850" w:type="dxa"/>
            <w:tcBorders>
              <w:top w:val="nil"/>
              <w:left w:val="nil"/>
              <w:bottom w:val="single" w:sz="8" w:space="0" w:color="auto"/>
              <w:right w:val="single" w:sz="8" w:space="0" w:color="auto"/>
            </w:tcBorders>
            <w:shd w:val="clear" w:color="auto" w:fill="auto"/>
            <w:vAlign w:val="center"/>
            <w:hideMark/>
          </w:tcPr>
          <w:p w14:paraId="3AA2EE9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5DCAF0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C653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56. Indywidualne rozliczenie podatku dochodowego od osób fizycznych.</w:t>
            </w:r>
          </w:p>
        </w:tc>
        <w:tc>
          <w:tcPr>
            <w:tcW w:w="850" w:type="dxa"/>
            <w:tcBorders>
              <w:top w:val="nil"/>
              <w:left w:val="nil"/>
              <w:bottom w:val="single" w:sz="8" w:space="0" w:color="auto"/>
              <w:right w:val="single" w:sz="8" w:space="0" w:color="auto"/>
            </w:tcBorders>
            <w:shd w:val="clear" w:color="auto" w:fill="auto"/>
            <w:vAlign w:val="center"/>
            <w:hideMark/>
          </w:tcPr>
          <w:p w14:paraId="307F7C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3D3FB7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33E3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57. Naliczanie podatku z umów cywilnoprawnych.</w:t>
            </w:r>
          </w:p>
        </w:tc>
        <w:tc>
          <w:tcPr>
            <w:tcW w:w="850" w:type="dxa"/>
            <w:tcBorders>
              <w:top w:val="nil"/>
              <w:left w:val="nil"/>
              <w:bottom w:val="single" w:sz="8" w:space="0" w:color="auto"/>
              <w:right w:val="single" w:sz="8" w:space="0" w:color="auto"/>
            </w:tcBorders>
            <w:shd w:val="clear" w:color="auto" w:fill="auto"/>
            <w:vAlign w:val="center"/>
            <w:hideMark/>
          </w:tcPr>
          <w:p w14:paraId="47B91E8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64AEC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625A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58. Generowanie wydruków obowiązujących formularzy PIT dotyczących zarówno płatnika jak i podatnika np. PIT4, PIT4R, PIT11, PIT8AR, PIT2.</w:t>
            </w:r>
          </w:p>
        </w:tc>
        <w:tc>
          <w:tcPr>
            <w:tcW w:w="850" w:type="dxa"/>
            <w:tcBorders>
              <w:top w:val="nil"/>
              <w:left w:val="nil"/>
              <w:bottom w:val="single" w:sz="8" w:space="0" w:color="auto"/>
              <w:right w:val="single" w:sz="8" w:space="0" w:color="auto"/>
            </w:tcBorders>
            <w:shd w:val="clear" w:color="auto" w:fill="auto"/>
            <w:vAlign w:val="center"/>
            <w:hideMark/>
          </w:tcPr>
          <w:p w14:paraId="563C4D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78E59C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921E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59. Uwzględnienie progów podatkowych, skali podatkowej, zwiększonych KUP, wspólnego opodatkowania, zaniechania podatku, podwójna ulgę podatkową.</w:t>
            </w:r>
          </w:p>
        </w:tc>
        <w:tc>
          <w:tcPr>
            <w:tcW w:w="850" w:type="dxa"/>
            <w:tcBorders>
              <w:top w:val="nil"/>
              <w:left w:val="nil"/>
              <w:bottom w:val="single" w:sz="8" w:space="0" w:color="auto"/>
              <w:right w:val="single" w:sz="8" w:space="0" w:color="auto"/>
            </w:tcBorders>
            <w:shd w:val="clear" w:color="auto" w:fill="auto"/>
            <w:vAlign w:val="center"/>
            <w:hideMark/>
          </w:tcPr>
          <w:p w14:paraId="3FA13C2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35B245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16C91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60. Komunikat o przekroczeniach np. rocznej podstawy ZUS, progów podatkowych, itp.</w:t>
            </w:r>
          </w:p>
        </w:tc>
        <w:tc>
          <w:tcPr>
            <w:tcW w:w="850" w:type="dxa"/>
            <w:tcBorders>
              <w:top w:val="nil"/>
              <w:left w:val="nil"/>
              <w:bottom w:val="single" w:sz="8" w:space="0" w:color="auto"/>
              <w:right w:val="single" w:sz="8" w:space="0" w:color="auto"/>
            </w:tcBorders>
            <w:shd w:val="clear" w:color="auto" w:fill="auto"/>
            <w:vAlign w:val="center"/>
            <w:hideMark/>
          </w:tcPr>
          <w:p w14:paraId="542D27C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CD7B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8E79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61. Zestawienie miesięcznych potrąceń podatku.</w:t>
            </w:r>
          </w:p>
        </w:tc>
        <w:tc>
          <w:tcPr>
            <w:tcW w:w="850" w:type="dxa"/>
            <w:tcBorders>
              <w:top w:val="nil"/>
              <w:left w:val="nil"/>
              <w:bottom w:val="single" w:sz="8" w:space="0" w:color="auto"/>
              <w:right w:val="single" w:sz="8" w:space="0" w:color="auto"/>
            </w:tcBorders>
            <w:shd w:val="clear" w:color="auto" w:fill="auto"/>
            <w:vAlign w:val="center"/>
            <w:hideMark/>
          </w:tcPr>
          <w:p w14:paraId="06DBA1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D9BA0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0651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62. Możliwość elektronicznego przesyłania deklaracji do US z UPO.</w:t>
            </w:r>
          </w:p>
        </w:tc>
        <w:tc>
          <w:tcPr>
            <w:tcW w:w="850" w:type="dxa"/>
            <w:tcBorders>
              <w:top w:val="nil"/>
              <w:left w:val="nil"/>
              <w:bottom w:val="single" w:sz="8" w:space="0" w:color="auto"/>
              <w:right w:val="single" w:sz="8" w:space="0" w:color="auto"/>
            </w:tcBorders>
            <w:shd w:val="clear" w:color="auto" w:fill="auto"/>
            <w:vAlign w:val="center"/>
            <w:hideMark/>
          </w:tcPr>
          <w:p w14:paraId="5D5F80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10C9F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C29EA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 Możliwość generowania raportów z umów cywilno-prawnych.</w:t>
            </w:r>
          </w:p>
        </w:tc>
        <w:tc>
          <w:tcPr>
            <w:tcW w:w="850" w:type="dxa"/>
            <w:tcBorders>
              <w:top w:val="nil"/>
              <w:left w:val="nil"/>
              <w:bottom w:val="single" w:sz="8" w:space="0" w:color="auto"/>
              <w:right w:val="single" w:sz="8" w:space="0" w:color="auto"/>
            </w:tcBorders>
            <w:shd w:val="clear" w:color="auto" w:fill="auto"/>
            <w:vAlign w:val="center"/>
            <w:hideMark/>
          </w:tcPr>
          <w:p w14:paraId="3F4DF7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488ED1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203D2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64. Możliwość wprowadzania osób obcych do PIT 11 (franszyza redukcyjna).</w:t>
            </w:r>
          </w:p>
        </w:tc>
        <w:tc>
          <w:tcPr>
            <w:tcW w:w="850" w:type="dxa"/>
            <w:tcBorders>
              <w:top w:val="nil"/>
              <w:left w:val="nil"/>
              <w:bottom w:val="single" w:sz="8" w:space="0" w:color="auto"/>
              <w:right w:val="single" w:sz="8" w:space="0" w:color="auto"/>
            </w:tcBorders>
            <w:shd w:val="clear" w:color="auto" w:fill="auto"/>
            <w:vAlign w:val="center"/>
            <w:hideMark/>
          </w:tcPr>
          <w:p w14:paraId="07D5EA4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0047D2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FBB8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65. Automatyczne tworzenie przelewów płacowych i eksport ich do banku.</w:t>
            </w:r>
          </w:p>
        </w:tc>
        <w:tc>
          <w:tcPr>
            <w:tcW w:w="850" w:type="dxa"/>
            <w:tcBorders>
              <w:top w:val="nil"/>
              <w:left w:val="nil"/>
              <w:bottom w:val="single" w:sz="8" w:space="0" w:color="auto"/>
              <w:right w:val="single" w:sz="8" w:space="0" w:color="auto"/>
            </w:tcBorders>
            <w:shd w:val="clear" w:color="auto" w:fill="auto"/>
            <w:vAlign w:val="center"/>
            <w:hideMark/>
          </w:tcPr>
          <w:p w14:paraId="6AE14A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191F0F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4222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66. Rejestrowanie rachunków osobistych pracowników i zleceniobiorców i kierowanie wypłat na te rachunki.</w:t>
            </w:r>
          </w:p>
        </w:tc>
        <w:tc>
          <w:tcPr>
            <w:tcW w:w="850" w:type="dxa"/>
            <w:tcBorders>
              <w:top w:val="nil"/>
              <w:left w:val="nil"/>
              <w:bottom w:val="single" w:sz="8" w:space="0" w:color="auto"/>
              <w:right w:val="single" w:sz="8" w:space="0" w:color="auto"/>
            </w:tcBorders>
            <w:shd w:val="clear" w:color="auto" w:fill="auto"/>
            <w:vAlign w:val="center"/>
            <w:hideMark/>
          </w:tcPr>
          <w:p w14:paraId="2F26E0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5199057" w14:textId="77777777" w:rsidTr="00B97E7A">
        <w:trPr>
          <w:trHeight w:val="33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D566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67. Automatyczna kontrola kwoty minimalnego wynagrodzenia wolnej od potrąceń, w tym:</w:t>
            </w:r>
            <w:r w:rsidRPr="00B97E7A">
              <w:rPr>
                <w:rFonts w:ascii="Times New Roman" w:eastAsia="Times New Roman" w:hAnsi="Times New Roman" w:cs="Times New Roman"/>
                <w:kern w:val="0"/>
                <w:sz w:val="28"/>
                <w:szCs w:val="28"/>
                <w:lang w:eastAsia="pl-PL"/>
                <w14:ligatures w14:val="none"/>
              </w:rPr>
              <w:br/>
              <w:t>- sum egzekwowanych na mocy tytułów wykonawczych na zaspokojenie świadczeń alimentacyjnych,</w:t>
            </w:r>
            <w:r w:rsidRPr="00B97E7A">
              <w:rPr>
                <w:rFonts w:ascii="Times New Roman" w:eastAsia="Times New Roman" w:hAnsi="Times New Roman" w:cs="Times New Roman"/>
                <w:kern w:val="0"/>
                <w:sz w:val="28"/>
                <w:szCs w:val="28"/>
                <w:lang w:eastAsia="pl-PL"/>
                <w14:ligatures w14:val="none"/>
              </w:rPr>
              <w:br/>
              <w:t>- sum egzekwowanych na mocy tytułów wykonawczych na pokrycie należności innych niż alimentacyjne,</w:t>
            </w:r>
            <w:r w:rsidRPr="00B97E7A">
              <w:rPr>
                <w:rFonts w:ascii="Times New Roman" w:eastAsia="Times New Roman" w:hAnsi="Times New Roman" w:cs="Times New Roman"/>
                <w:kern w:val="0"/>
                <w:sz w:val="28"/>
                <w:szCs w:val="28"/>
                <w:lang w:eastAsia="pl-PL"/>
                <w14:ligatures w14:val="none"/>
              </w:rPr>
              <w:br/>
              <w:t>- zaliczki pieniężnej udzielonej pracownikowi,</w:t>
            </w:r>
            <w:r w:rsidRPr="00B97E7A">
              <w:rPr>
                <w:rFonts w:ascii="Times New Roman" w:eastAsia="Times New Roman" w:hAnsi="Times New Roman" w:cs="Times New Roman"/>
                <w:kern w:val="0"/>
                <w:sz w:val="28"/>
                <w:szCs w:val="28"/>
                <w:lang w:eastAsia="pl-PL"/>
                <w14:ligatures w14:val="none"/>
              </w:rPr>
              <w:br/>
              <w:t>- kary pieniężnej,</w:t>
            </w:r>
            <w:r w:rsidRPr="00B97E7A">
              <w:rPr>
                <w:rFonts w:ascii="Times New Roman" w:eastAsia="Times New Roman" w:hAnsi="Times New Roman" w:cs="Times New Roman"/>
                <w:kern w:val="0"/>
                <w:sz w:val="28"/>
                <w:szCs w:val="28"/>
                <w:lang w:eastAsia="pl-PL"/>
                <w14:ligatures w14:val="none"/>
              </w:rPr>
              <w:br/>
              <w:t>- z zasiłku chorobowego.</w:t>
            </w:r>
          </w:p>
        </w:tc>
        <w:tc>
          <w:tcPr>
            <w:tcW w:w="850" w:type="dxa"/>
            <w:tcBorders>
              <w:top w:val="nil"/>
              <w:left w:val="nil"/>
              <w:bottom w:val="single" w:sz="8" w:space="0" w:color="auto"/>
              <w:right w:val="single" w:sz="8" w:space="0" w:color="auto"/>
            </w:tcBorders>
            <w:shd w:val="clear" w:color="auto" w:fill="auto"/>
            <w:vAlign w:val="center"/>
            <w:hideMark/>
          </w:tcPr>
          <w:p w14:paraId="53BAECC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8B8C4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C326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68. Możliwość wygenerowania deklaracji ZUS IWA i eksportu do programu Płatnik.</w:t>
            </w:r>
          </w:p>
        </w:tc>
        <w:tc>
          <w:tcPr>
            <w:tcW w:w="850" w:type="dxa"/>
            <w:tcBorders>
              <w:top w:val="nil"/>
              <w:left w:val="nil"/>
              <w:bottom w:val="single" w:sz="8" w:space="0" w:color="auto"/>
              <w:right w:val="single" w:sz="8" w:space="0" w:color="auto"/>
            </w:tcBorders>
            <w:shd w:val="clear" w:color="auto" w:fill="auto"/>
            <w:vAlign w:val="center"/>
            <w:hideMark/>
          </w:tcPr>
          <w:p w14:paraId="59A8247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05060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9225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69. Obsługa PPK.</w:t>
            </w:r>
          </w:p>
        </w:tc>
        <w:tc>
          <w:tcPr>
            <w:tcW w:w="850" w:type="dxa"/>
            <w:tcBorders>
              <w:top w:val="nil"/>
              <w:left w:val="nil"/>
              <w:bottom w:val="single" w:sz="8" w:space="0" w:color="auto"/>
              <w:right w:val="single" w:sz="8" w:space="0" w:color="auto"/>
            </w:tcBorders>
            <w:shd w:val="clear" w:color="auto" w:fill="auto"/>
            <w:vAlign w:val="center"/>
            <w:hideMark/>
          </w:tcPr>
          <w:p w14:paraId="27AA6E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B2F00C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7FC2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70. Możliwość obsługi płac przez kilka osób jednocześnie.</w:t>
            </w:r>
          </w:p>
        </w:tc>
        <w:tc>
          <w:tcPr>
            <w:tcW w:w="850" w:type="dxa"/>
            <w:tcBorders>
              <w:top w:val="nil"/>
              <w:left w:val="nil"/>
              <w:bottom w:val="single" w:sz="8" w:space="0" w:color="auto"/>
              <w:right w:val="single" w:sz="8" w:space="0" w:color="auto"/>
            </w:tcBorders>
            <w:shd w:val="clear" w:color="auto" w:fill="auto"/>
            <w:vAlign w:val="center"/>
            <w:hideMark/>
          </w:tcPr>
          <w:p w14:paraId="5E5C6F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459BC1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3DCCB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71. Możliwość definiowania dowolnych formatek wydruków, tworzenie dowolnych wydruków z uwzględnieniem wszelkich danych pracownika np. zaświadczenie o dochodach.</w:t>
            </w:r>
          </w:p>
        </w:tc>
        <w:tc>
          <w:tcPr>
            <w:tcW w:w="850" w:type="dxa"/>
            <w:tcBorders>
              <w:top w:val="nil"/>
              <w:left w:val="nil"/>
              <w:bottom w:val="single" w:sz="8" w:space="0" w:color="auto"/>
              <w:right w:val="single" w:sz="8" w:space="0" w:color="auto"/>
            </w:tcBorders>
            <w:shd w:val="clear" w:color="auto" w:fill="auto"/>
            <w:vAlign w:val="center"/>
            <w:hideMark/>
          </w:tcPr>
          <w:p w14:paraId="5EE3CD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C0948F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191505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72. Możliwość wydruków z uwzględnieniem miesiąca księgowego i podatkowego.</w:t>
            </w:r>
          </w:p>
        </w:tc>
        <w:tc>
          <w:tcPr>
            <w:tcW w:w="850" w:type="dxa"/>
            <w:tcBorders>
              <w:top w:val="nil"/>
              <w:left w:val="nil"/>
              <w:bottom w:val="single" w:sz="8" w:space="0" w:color="auto"/>
              <w:right w:val="single" w:sz="8" w:space="0" w:color="auto"/>
            </w:tcBorders>
            <w:shd w:val="clear" w:color="auto" w:fill="auto"/>
            <w:vAlign w:val="center"/>
            <w:hideMark/>
          </w:tcPr>
          <w:p w14:paraId="1EC3E3D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9D1F00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41D2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73. Konieczność automatycznego tworzenia rozdzielników płacowych dla każdej listy płac.</w:t>
            </w:r>
          </w:p>
        </w:tc>
        <w:tc>
          <w:tcPr>
            <w:tcW w:w="850" w:type="dxa"/>
            <w:tcBorders>
              <w:top w:val="nil"/>
              <w:left w:val="nil"/>
              <w:bottom w:val="single" w:sz="8" w:space="0" w:color="auto"/>
              <w:right w:val="single" w:sz="8" w:space="0" w:color="auto"/>
            </w:tcBorders>
            <w:shd w:val="clear" w:color="auto" w:fill="auto"/>
            <w:vAlign w:val="center"/>
            <w:hideMark/>
          </w:tcPr>
          <w:p w14:paraId="5726E2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66D3C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F1B1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74. Możliwość importu składników (np. wynagrodzenie podstawowe, premie, itp.) z programu Lotus do programu płacowego (plik txt).</w:t>
            </w:r>
          </w:p>
        </w:tc>
        <w:tc>
          <w:tcPr>
            <w:tcW w:w="850" w:type="dxa"/>
            <w:tcBorders>
              <w:top w:val="nil"/>
              <w:left w:val="nil"/>
              <w:bottom w:val="single" w:sz="8" w:space="0" w:color="auto"/>
              <w:right w:val="single" w:sz="8" w:space="0" w:color="auto"/>
            </w:tcBorders>
            <w:shd w:val="clear" w:color="auto" w:fill="auto"/>
            <w:vAlign w:val="center"/>
            <w:hideMark/>
          </w:tcPr>
          <w:p w14:paraId="34204E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B0F095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D6592C"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XII. MODUŁ ZARZĄDZANIA EKSPLOATACJĄ I AWARIAMI</w:t>
            </w:r>
          </w:p>
        </w:tc>
        <w:tc>
          <w:tcPr>
            <w:tcW w:w="850" w:type="dxa"/>
            <w:tcBorders>
              <w:top w:val="nil"/>
              <w:left w:val="nil"/>
              <w:bottom w:val="single" w:sz="8" w:space="0" w:color="auto"/>
              <w:right w:val="single" w:sz="8" w:space="0" w:color="auto"/>
            </w:tcBorders>
            <w:shd w:val="clear" w:color="000000" w:fill="A6A6A6"/>
            <w:vAlign w:val="center"/>
            <w:hideMark/>
          </w:tcPr>
          <w:p w14:paraId="5727C074"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14503A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E546D5"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Funkcjonalności podstawowe:</w:t>
            </w:r>
          </w:p>
        </w:tc>
        <w:tc>
          <w:tcPr>
            <w:tcW w:w="850" w:type="dxa"/>
            <w:tcBorders>
              <w:top w:val="nil"/>
              <w:left w:val="nil"/>
              <w:bottom w:val="single" w:sz="8" w:space="0" w:color="auto"/>
              <w:right w:val="single" w:sz="8" w:space="0" w:color="auto"/>
            </w:tcBorders>
            <w:shd w:val="clear" w:color="000000" w:fill="A6A6A6"/>
            <w:vAlign w:val="center"/>
            <w:hideMark/>
          </w:tcPr>
          <w:p w14:paraId="48DB54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2267F8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AAA3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jednoczesnego wprowadzania danych przez dowolną liczbę użytkowników.</w:t>
            </w:r>
          </w:p>
        </w:tc>
        <w:tc>
          <w:tcPr>
            <w:tcW w:w="850" w:type="dxa"/>
            <w:tcBorders>
              <w:top w:val="nil"/>
              <w:left w:val="nil"/>
              <w:bottom w:val="single" w:sz="8" w:space="0" w:color="auto"/>
              <w:right w:val="single" w:sz="8" w:space="0" w:color="auto"/>
            </w:tcBorders>
            <w:shd w:val="clear" w:color="auto" w:fill="auto"/>
            <w:vAlign w:val="center"/>
            <w:hideMark/>
          </w:tcPr>
          <w:p w14:paraId="00427F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C71D27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F741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 Integracja z pozostałymi modułami - moduł </w:t>
            </w:r>
            <w:proofErr w:type="spellStart"/>
            <w:r w:rsidRPr="00B97E7A">
              <w:rPr>
                <w:rFonts w:ascii="Times New Roman" w:eastAsia="Times New Roman" w:hAnsi="Times New Roman" w:cs="Times New Roman"/>
                <w:kern w:val="0"/>
                <w:sz w:val="28"/>
                <w:szCs w:val="28"/>
                <w:lang w:eastAsia="pl-PL"/>
                <w14:ligatures w14:val="none"/>
              </w:rPr>
              <w:t>EiA</w:t>
            </w:r>
            <w:proofErr w:type="spellEnd"/>
            <w:r w:rsidRPr="00B97E7A">
              <w:rPr>
                <w:rFonts w:ascii="Times New Roman" w:eastAsia="Times New Roman" w:hAnsi="Times New Roman" w:cs="Times New Roman"/>
                <w:kern w:val="0"/>
                <w:sz w:val="28"/>
                <w:szCs w:val="28"/>
                <w:lang w:eastAsia="pl-PL"/>
                <w14:ligatures w14:val="none"/>
              </w:rPr>
              <w:t xml:space="preserve"> musi współpracować z pozostałymi modułami Systemu (np. dane o pracownikach, miejsca powstania kosztów, dane kontrahenta, dane o lokalizacji, dane o środkach trwałych).</w:t>
            </w:r>
          </w:p>
        </w:tc>
        <w:tc>
          <w:tcPr>
            <w:tcW w:w="850" w:type="dxa"/>
            <w:tcBorders>
              <w:top w:val="nil"/>
              <w:left w:val="nil"/>
              <w:bottom w:val="single" w:sz="8" w:space="0" w:color="auto"/>
              <w:right w:val="single" w:sz="8" w:space="0" w:color="auto"/>
            </w:tcBorders>
            <w:shd w:val="clear" w:color="auto" w:fill="auto"/>
            <w:vAlign w:val="center"/>
            <w:hideMark/>
          </w:tcPr>
          <w:p w14:paraId="4D9A887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534C54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A2D5AC" w14:textId="0008CCA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bookmarkStart w:id="0" w:name="_Hlk190171563"/>
            <w:r w:rsidRPr="00B97E7A">
              <w:rPr>
                <w:rFonts w:ascii="Times New Roman" w:eastAsia="Times New Roman" w:hAnsi="Times New Roman" w:cs="Times New Roman"/>
                <w:kern w:val="0"/>
                <w:sz w:val="28"/>
                <w:szCs w:val="28"/>
                <w:lang w:eastAsia="pl-PL"/>
                <w14:ligatures w14:val="none"/>
              </w:rPr>
              <w:t xml:space="preserve">3. Integracja z systemem </w:t>
            </w:r>
            <w:proofErr w:type="spellStart"/>
            <w:r w:rsidRPr="00B97E7A">
              <w:rPr>
                <w:rFonts w:ascii="Times New Roman" w:eastAsia="Times New Roman" w:hAnsi="Times New Roman" w:cs="Times New Roman"/>
                <w:kern w:val="0"/>
                <w:sz w:val="28"/>
                <w:szCs w:val="28"/>
                <w:lang w:eastAsia="pl-PL"/>
                <w14:ligatures w14:val="none"/>
              </w:rPr>
              <w:t>Ar</w:t>
            </w:r>
            <w:r w:rsidR="00E36A33">
              <w:rPr>
                <w:rFonts w:ascii="Times New Roman" w:eastAsia="Times New Roman" w:hAnsi="Times New Roman" w:cs="Times New Roman"/>
                <w:kern w:val="0"/>
                <w:sz w:val="28"/>
                <w:szCs w:val="28"/>
                <w:lang w:eastAsia="pl-PL"/>
                <w14:ligatures w14:val="none"/>
              </w:rPr>
              <w:t>c</w:t>
            </w:r>
            <w:r w:rsidRPr="00B97E7A">
              <w:rPr>
                <w:rFonts w:ascii="Times New Roman" w:eastAsia="Times New Roman" w:hAnsi="Times New Roman" w:cs="Times New Roman"/>
                <w:kern w:val="0"/>
                <w:sz w:val="28"/>
                <w:szCs w:val="28"/>
                <w:lang w:eastAsia="pl-PL"/>
                <w14:ligatures w14:val="none"/>
              </w:rPr>
              <w:t>GIS</w:t>
            </w:r>
            <w:proofErr w:type="spellEnd"/>
            <w:r w:rsidRPr="00B97E7A">
              <w:rPr>
                <w:rFonts w:ascii="Times New Roman" w:eastAsia="Times New Roman" w:hAnsi="Times New Roman" w:cs="Times New Roman"/>
                <w:kern w:val="0"/>
                <w:sz w:val="28"/>
                <w:szCs w:val="28"/>
                <w:lang w:eastAsia="pl-PL"/>
                <w14:ligatures w14:val="none"/>
              </w:rPr>
              <w:t xml:space="preserve"> Enterprise firmy </w:t>
            </w:r>
            <w:proofErr w:type="spellStart"/>
            <w:r w:rsidRPr="00B97E7A">
              <w:rPr>
                <w:rFonts w:ascii="Times New Roman" w:eastAsia="Times New Roman" w:hAnsi="Times New Roman" w:cs="Times New Roman"/>
                <w:kern w:val="0"/>
                <w:sz w:val="28"/>
                <w:szCs w:val="28"/>
                <w:lang w:eastAsia="pl-PL"/>
                <w14:ligatures w14:val="none"/>
              </w:rPr>
              <w:t>Esri</w:t>
            </w:r>
            <w:proofErr w:type="spellEnd"/>
            <w:r w:rsidRPr="00B97E7A">
              <w:rPr>
                <w:rFonts w:ascii="Times New Roman" w:eastAsia="Times New Roman" w:hAnsi="Times New Roman" w:cs="Times New Roman"/>
                <w:kern w:val="0"/>
                <w:sz w:val="28"/>
                <w:szCs w:val="28"/>
                <w:lang w:eastAsia="pl-PL"/>
                <w14:ligatures w14:val="none"/>
              </w:rPr>
              <w:t>.</w:t>
            </w:r>
            <w:bookmarkEnd w:id="0"/>
          </w:p>
        </w:tc>
        <w:tc>
          <w:tcPr>
            <w:tcW w:w="850" w:type="dxa"/>
            <w:tcBorders>
              <w:top w:val="nil"/>
              <w:left w:val="nil"/>
              <w:bottom w:val="single" w:sz="8" w:space="0" w:color="auto"/>
              <w:right w:val="single" w:sz="8" w:space="0" w:color="auto"/>
            </w:tcBorders>
            <w:shd w:val="clear" w:color="auto" w:fill="auto"/>
            <w:vAlign w:val="center"/>
            <w:hideMark/>
          </w:tcPr>
          <w:p w14:paraId="02EC10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A8F24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81A4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Nieograniczonej modyfikacja i rozbudowa słowników pojęć.</w:t>
            </w:r>
          </w:p>
        </w:tc>
        <w:tc>
          <w:tcPr>
            <w:tcW w:w="850" w:type="dxa"/>
            <w:tcBorders>
              <w:top w:val="nil"/>
              <w:left w:val="nil"/>
              <w:bottom w:val="single" w:sz="8" w:space="0" w:color="auto"/>
              <w:right w:val="single" w:sz="8" w:space="0" w:color="auto"/>
            </w:tcBorders>
            <w:shd w:val="clear" w:color="auto" w:fill="auto"/>
            <w:vAlign w:val="center"/>
            <w:hideMark/>
          </w:tcPr>
          <w:p w14:paraId="3C87A3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4BAB6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65B62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Aplikacja musi umożliwiać użytkownikowi podgląd do posiadanych uprawnień.</w:t>
            </w:r>
          </w:p>
        </w:tc>
        <w:tc>
          <w:tcPr>
            <w:tcW w:w="850" w:type="dxa"/>
            <w:tcBorders>
              <w:top w:val="nil"/>
              <w:left w:val="nil"/>
              <w:bottom w:val="single" w:sz="8" w:space="0" w:color="auto"/>
              <w:right w:val="single" w:sz="8" w:space="0" w:color="auto"/>
            </w:tcBorders>
            <w:shd w:val="clear" w:color="auto" w:fill="auto"/>
            <w:vAlign w:val="center"/>
            <w:hideMark/>
          </w:tcPr>
          <w:p w14:paraId="7908A9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E575C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FC46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6. Aplikacja musi posiadać możliwość szybkiego przełączania widoków pomiędzy różnymi pozycjami, np. harmonogram, brygady, dziennik zdarzeń, itp. </w:t>
            </w:r>
          </w:p>
        </w:tc>
        <w:tc>
          <w:tcPr>
            <w:tcW w:w="850" w:type="dxa"/>
            <w:tcBorders>
              <w:top w:val="nil"/>
              <w:left w:val="nil"/>
              <w:bottom w:val="single" w:sz="8" w:space="0" w:color="auto"/>
              <w:right w:val="single" w:sz="8" w:space="0" w:color="auto"/>
            </w:tcBorders>
            <w:shd w:val="clear" w:color="auto" w:fill="auto"/>
            <w:vAlign w:val="center"/>
            <w:hideMark/>
          </w:tcPr>
          <w:p w14:paraId="323A7D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B8B00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E2EF8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Aplikacja musi umożliwiać pracę na urządzeniach stacjonarnych i mobilnych.</w:t>
            </w:r>
          </w:p>
        </w:tc>
        <w:tc>
          <w:tcPr>
            <w:tcW w:w="850" w:type="dxa"/>
            <w:tcBorders>
              <w:top w:val="nil"/>
              <w:left w:val="nil"/>
              <w:bottom w:val="single" w:sz="8" w:space="0" w:color="auto"/>
              <w:right w:val="single" w:sz="8" w:space="0" w:color="auto"/>
            </w:tcBorders>
            <w:shd w:val="clear" w:color="auto" w:fill="auto"/>
            <w:vAlign w:val="center"/>
            <w:hideMark/>
          </w:tcPr>
          <w:p w14:paraId="4E0B473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C8CD51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46A1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Aplikacja musi umożliwiać sczytywanie kodów kreskowych i/lub QR.</w:t>
            </w:r>
          </w:p>
        </w:tc>
        <w:tc>
          <w:tcPr>
            <w:tcW w:w="850" w:type="dxa"/>
            <w:tcBorders>
              <w:top w:val="nil"/>
              <w:left w:val="nil"/>
              <w:bottom w:val="single" w:sz="8" w:space="0" w:color="auto"/>
              <w:right w:val="single" w:sz="8" w:space="0" w:color="auto"/>
            </w:tcBorders>
            <w:shd w:val="clear" w:color="auto" w:fill="auto"/>
            <w:vAlign w:val="center"/>
            <w:hideMark/>
          </w:tcPr>
          <w:p w14:paraId="41B7A0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D30B5D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D741D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 Logowanie się do systemu w urządzeniach mobilnych za pomocą pracowniczej karty zbliżeniowej. W przypadku braku możliwości zalogowania się kartą aplikacja musi umożliwić logowanie się przez nazwę użytkownika (Imię i Nazwisko) zabezpieczone 4 cyfrowym kodem PIN</w:t>
            </w:r>
          </w:p>
        </w:tc>
        <w:tc>
          <w:tcPr>
            <w:tcW w:w="850" w:type="dxa"/>
            <w:tcBorders>
              <w:top w:val="nil"/>
              <w:left w:val="nil"/>
              <w:bottom w:val="single" w:sz="8" w:space="0" w:color="auto"/>
              <w:right w:val="single" w:sz="8" w:space="0" w:color="auto"/>
            </w:tcBorders>
            <w:shd w:val="clear" w:color="auto" w:fill="auto"/>
            <w:vAlign w:val="center"/>
            <w:hideMark/>
          </w:tcPr>
          <w:p w14:paraId="3A0502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3E3B8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BBD2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Aplikacja na urządzeniach mobilnych musi umożliwiać pracę online i offline. W przypadku braku połączenia z siecią aplikacja musi zapisywać dane, a po uzyskaniu dostępu do sieci niezwłocznie przesłać dane do bazy.</w:t>
            </w:r>
          </w:p>
        </w:tc>
        <w:tc>
          <w:tcPr>
            <w:tcW w:w="850" w:type="dxa"/>
            <w:tcBorders>
              <w:top w:val="nil"/>
              <w:left w:val="nil"/>
              <w:bottom w:val="single" w:sz="8" w:space="0" w:color="auto"/>
              <w:right w:val="single" w:sz="8" w:space="0" w:color="auto"/>
            </w:tcBorders>
            <w:shd w:val="clear" w:color="auto" w:fill="auto"/>
            <w:vAlign w:val="center"/>
            <w:hideMark/>
          </w:tcPr>
          <w:p w14:paraId="4074BB3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D29C0D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7F024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Ewidencja obiektów</w:t>
            </w:r>
          </w:p>
        </w:tc>
        <w:tc>
          <w:tcPr>
            <w:tcW w:w="850" w:type="dxa"/>
            <w:tcBorders>
              <w:top w:val="nil"/>
              <w:left w:val="nil"/>
              <w:bottom w:val="single" w:sz="8" w:space="0" w:color="auto"/>
              <w:right w:val="single" w:sz="8" w:space="0" w:color="auto"/>
            </w:tcBorders>
            <w:shd w:val="clear" w:color="000000" w:fill="A6A6A6"/>
            <w:vAlign w:val="center"/>
            <w:hideMark/>
          </w:tcPr>
          <w:p w14:paraId="7A878C9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1D4EC6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D8E5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Każdy obiekt musi posiadać numer indywidulany ID.</w:t>
            </w:r>
          </w:p>
        </w:tc>
        <w:tc>
          <w:tcPr>
            <w:tcW w:w="850" w:type="dxa"/>
            <w:tcBorders>
              <w:top w:val="nil"/>
              <w:left w:val="nil"/>
              <w:bottom w:val="single" w:sz="8" w:space="0" w:color="auto"/>
              <w:right w:val="single" w:sz="8" w:space="0" w:color="auto"/>
            </w:tcBorders>
            <w:shd w:val="clear" w:color="auto" w:fill="auto"/>
            <w:vAlign w:val="center"/>
            <w:hideMark/>
          </w:tcPr>
          <w:p w14:paraId="6CD927B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1E9246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7DCDF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Obiekty muszą być podzielone na katalogi np. sieć wodociągowa, sieć kanalizacyjna, obiekty budowlane, itp.</w:t>
            </w:r>
          </w:p>
        </w:tc>
        <w:tc>
          <w:tcPr>
            <w:tcW w:w="850" w:type="dxa"/>
            <w:tcBorders>
              <w:top w:val="nil"/>
              <w:left w:val="nil"/>
              <w:bottom w:val="single" w:sz="8" w:space="0" w:color="auto"/>
              <w:right w:val="single" w:sz="8" w:space="0" w:color="auto"/>
            </w:tcBorders>
            <w:shd w:val="clear" w:color="auto" w:fill="auto"/>
            <w:vAlign w:val="center"/>
            <w:hideMark/>
          </w:tcPr>
          <w:p w14:paraId="355326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BF26A3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25B03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Słownik katalogu musi być otwarty tj. gotowy do rozszerzenia i edycji.</w:t>
            </w:r>
          </w:p>
        </w:tc>
        <w:tc>
          <w:tcPr>
            <w:tcW w:w="850" w:type="dxa"/>
            <w:tcBorders>
              <w:top w:val="nil"/>
              <w:left w:val="nil"/>
              <w:bottom w:val="single" w:sz="8" w:space="0" w:color="auto"/>
              <w:right w:val="single" w:sz="8" w:space="0" w:color="auto"/>
            </w:tcBorders>
            <w:shd w:val="clear" w:color="auto" w:fill="auto"/>
            <w:vAlign w:val="center"/>
            <w:hideMark/>
          </w:tcPr>
          <w:p w14:paraId="58E749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B2B9C5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E219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Aplikacja musi umożliwiać przypisanie do obiektów parametrów i właściwości z możliwością wykorzystana modyfikowalnych otwartych słowników lub ręcznie.</w:t>
            </w:r>
          </w:p>
        </w:tc>
        <w:tc>
          <w:tcPr>
            <w:tcW w:w="850" w:type="dxa"/>
            <w:tcBorders>
              <w:top w:val="nil"/>
              <w:left w:val="nil"/>
              <w:bottom w:val="single" w:sz="8" w:space="0" w:color="auto"/>
              <w:right w:val="single" w:sz="8" w:space="0" w:color="auto"/>
            </w:tcBorders>
            <w:shd w:val="clear" w:color="auto" w:fill="auto"/>
            <w:vAlign w:val="center"/>
            <w:hideMark/>
          </w:tcPr>
          <w:p w14:paraId="45FBE2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4000FC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1976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Obiekty wyświetlane jednocześnie w osobnych oknach w formie drzewa, tabeli, schematów technologicznych i mapy.</w:t>
            </w:r>
          </w:p>
        </w:tc>
        <w:tc>
          <w:tcPr>
            <w:tcW w:w="850" w:type="dxa"/>
            <w:tcBorders>
              <w:top w:val="nil"/>
              <w:left w:val="nil"/>
              <w:bottom w:val="single" w:sz="8" w:space="0" w:color="auto"/>
              <w:right w:val="single" w:sz="8" w:space="0" w:color="auto"/>
            </w:tcBorders>
            <w:shd w:val="clear" w:color="auto" w:fill="auto"/>
            <w:vAlign w:val="center"/>
            <w:hideMark/>
          </w:tcPr>
          <w:p w14:paraId="02E0C5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B9B9BF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69F5F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Aplikacja musi umożliwić dowolne grupowanie i sortowania obiektów zgodnie z przypisanymi parametrami wraz z funkcją automatycznego sumowania ilości i długości.</w:t>
            </w:r>
          </w:p>
        </w:tc>
        <w:tc>
          <w:tcPr>
            <w:tcW w:w="850" w:type="dxa"/>
            <w:tcBorders>
              <w:top w:val="nil"/>
              <w:left w:val="nil"/>
              <w:bottom w:val="single" w:sz="8" w:space="0" w:color="auto"/>
              <w:right w:val="single" w:sz="8" w:space="0" w:color="auto"/>
            </w:tcBorders>
            <w:shd w:val="clear" w:color="auto" w:fill="auto"/>
            <w:vAlign w:val="center"/>
            <w:hideMark/>
          </w:tcPr>
          <w:p w14:paraId="290EE60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6F6149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BBD0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Aplikacja musi umożliwiać użytkownikowi równoczesną pracę na wielu oknach/widokach.</w:t>
            </w:r>
          </w:p>
        </w:tc>
        <w:tc>
          <w:tcPr>
            <w:tcW w:w="850" w:type="dxa"/>
            <w:tcBorders>
              <w:top w:val="nil"/>
              <w:left w:val="nil"/>
              <w:bottom w:val="single" w:sz="8" w:space="0" w:color="auto"/>
              <w:right w:val="single" w:sz="8" w:space="0" w:color="auto"/>
            </w:tcBorders>
            <w:shd w:val="clear" w:color="auto" w:fill="auto"/>
            <w:vAlign w:val="center"/>
            <w:hideMark/>
          </w:tcPr>
          <w:p w14:paraId="4F4AE31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722232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8194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Aplikacja nie może być ograniczona co do ilości stworzonych obiektów.</w:t>
            </w:r>
          </w:p>
        </w:tc>
        <w:tc>
          <w:tcPr>
            <w:tcW w:w="850" w:type="dxa"/>
            <w:tcBorders>
              <w:top w:val="nil"/>
              <w:left w:val="nil"/>
              <w:bottom w:val="single" w:sz="8" w:space="0" w:color="auto"/>
              <w:right w:val="single" w:sz="8" w:space="0" w:color="auto"/>
            </w:tcBorders>
            <w:shd w:val="clear" w:color="auto" w:fill="auto"/>
            <w:vAlign w:val="center"/>
            <w:hideMark/>
          </w:tcPr>
          <w:p w14:paraId="6B1DF3E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B3183F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AA96E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umożliwić wybór pojedynczego obiektu lub wielu obiektów jednocześnie dla dowolnej formy ewidencji obiektów.</w:t>
            </w:r>
          </w:p>
        </w:tc>
        <w:tc>
          <w:tcPr>
            <w:tcW w:w="850" w:type="dxa"/>
            <w:tcBorders>
              <w:top w:val="nil"/>
              <w:left w:val="nil"/>
              <w:bottom w:val="single" w:sz="8" w:space="0" w:color="auto"/>
              <w:right w:val="single" w:sz="8" w:space="0" w:color="auto"/>
            </w:tcBorders>
            <w:shd w:val="clear" w:color="auto" w:fill="auto"/>
            <w:vAlign w:val="center"/>
            <w:hideMark/>
          </w:tcPr>
          <w:p w14:paraId="726C2E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A45FC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A0A9E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Ewidencja zdarzeń</w:t>
            </w:r>
          </w:p>
        </w:tc>
        <w:tc>
          <w:tcPr>
            <w:tcW w:w="850" w:type="dxa"/>
            <w:tcBorders>
              <w:top w:val="nil"/>
              <w:left w:val="nil"/>
              <w:bottom w:val="single" w:sz="8" w:space="0" w:color="auto"/>
              <w:right w:val="single" w:sz="8" w:space="0" w:color="auto"/>
            </w:tcBorders>
            <w:shd w:val="clear" w:color="000000" w:fill="A6A6A6"/>
            <w:vAlign w:val="center"/>
            <w:hideMark/>
          </w:tcPr>
          <w:p w14:paraId="2FA37A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8C1CDF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FC62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Aplikacja musi umożliwiać przypisanie zdarzeń dla każdego obiektu.</w:t>
            </w:r>
          </w:p>
        </w:tc>
        <w:tc>
          <w:tcPr>
            <w:tcW w:w="850" w:type="dxa"/>
            <w:tcBorders>
              <w:top w:val="nil"/>
              <w:left w:val="nil"/>
              <w:bottom w:val="single" w:sz="8" w:space="0" w:color="auto"/>
              <w:right w:val="single" w:sz="8" w:space="0" w:color="auto"/>
            </w:tcBorders>
            <w:shd w:val="clear" w:color="auto" w:fill="auto"/>
            <w:vAlign w:val="center"/>
            <w:hideMark/>
          </w:tcPr>
          <w:p w14:paraId="0E5E0A6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99E49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07273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Słownik listy kategorii zdarzeń musi być otwarty tj. gotowy do rozszerzenia i edycji.</w:t>
            </w:r>
          </w:p>
        </w:tc>
        <w:tc>
          <w:tcPr>
            <w:tcW w:w="850" w:type="dxa"/>
            <w:tcBorders>
              <w:top w:val="nil"/>
              <w:left w:val="nil"/>
              <w:bottom w:val="single" w:sz="8" w:space="0" w:color="auto"/>
              <w:right w:val="single" w:sz="8" w:space="0" w:color="auto"/>
            </w:tcBorders>
            <w:shd w:val="clear" w:color="auto" w:fill="auto"/>
            <w:vAlign w:val="center"/>
            <w:hideMark/>
          </w:tcPr>
          <w:p w14:paraId="037842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A81254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E3FC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 Filtrowanie, sortowanie, zliczanie zdarzeń połączone z wizualizacją na mapie.</w:t>
            </w:r>
          </w:p>
        </w:tc>
        <w:tc>
          <w:tcPr>
            <w:tcW w:w="850" w:type="dxa"/>
            <w:tcBorders>
              <w:top w:val="nil"/>
              <w:left w:val="nil"/>
              <w:bottom w:val="single" w:sz="8" w:space="0" w:color="auto"/>
              <w:right w:val="single" w:sz="8" w:space="0" w:color="auto"/>
            </w:tcBorders>
            <w:shd w:val="clear" w:color="auto" w:fill="auto"/>
            <w:vAlign w:val="center"/>
            <w:hideMark/>
          </w:tcPr>
          <w:p w14:paraId="365308B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31E1604"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80BAE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Filtrowanie, sortowanie, zliczanie zdarzeń na osi czasu z możliwością wyboru różnych form określania zakresu np. „od”-„do”, ostatni tydzień kalendarzowy, określony kwartał z możliwością wyboru roku, miesięczny z możliwością wyboru roku, itd.</w:t>
            </w:r>
          </w:p>
        </w:tc>
        <w:tc>
          <w:tcPr>
            <w:tcW w:w="850" w:type="dxa"/>
            <w:tcBorders>
              <w:top w:val="nil"/>
              <w:left w:val="nil"/>
              <w:bottom w:val="single" w:sz="8" w:space="0" w:color="auto"/>
              <w:right w:val="single" w:sz="8" w:space="0" w:color="auto"/>
            </w:tcBorders>
            <w:shd w:val="clear" w:color="auto" w:fill="auto"/>
            <w:vAlign w:val="center"/>
            <w:hideMark/>
          </w:tcPr>
          <w:p w14:paraId="608E6D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134BF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3F7D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Dla zdarzeń muszą być rejestrowane, co najmniej następujące dane: data, godzina rozpoczęcia i zakończenia wykonywanej czynności, tryb pracy (zmiana I/II, nocka, dyżur, itp.), wykorzystywane zasoby (pojazdy, sprzęt, materiały itp.), brygada (z określeniem brygadzisty i składu osobowego brygady), nadzór.</w:t>
            </w:r>
          </w:p>
        </w:tc>
        <w:tc>
          <w:tcPr>
            <w:tcW w:w="850" w:type="dxa"/>
            <w:tcBorders>
              <w:top w:val="nil"/>
              <w:left w:val="nil"/>
              <w:bottom w:val="single" w:sz="8" w:space="0" w:color="auto"/>
              <w:right w:val="single" w:sz="8" w:space="0" w:color="auto"/>
            </w:tcBorders>
            <w:shd w:val="clear" w:color="auto" w:fill="auto"/>
            <w:vAlign w:val="center"/>
            <w:hideMark/>
          </w:tcPr>
          <w:p w14:paraId="52BEA6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64650F"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551B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6. Aplikacja musi posiadać możliwość wprowadzania i modyfikowania określonych parametrów dla danych kategorii zdarzeń zarówno opisowo jak i z list wybieranych oraz dołączania dokumentacji fotograficznej oraz innych plików i dokumentów, itp. np.. Lista wybierana - określona jest za pomocą cyfr do których należy przypisać opis parametru np. dla zasuwy: Tabliczka lokalizacyjna: 0 – brak tabliczki, 1 – całość dobrze, 2 – do uzupełnienia, itp. </w:t>
            </w:r>
          </w:p>
        </w:tc>
        <w:tc>
          <w:tcPr>
            <w:tcW w:w="850" w:type="dxa"/>
            <w:tcBorders>
              <w:top w:val="nil"/>
              <w:left w:val="nil"/>
              <w:bottom w:val="single" w:sz="8" w:space="0" w:color="auto"/>
              <w:right w:val="single" w:sz="8" w:space="0" w:color="auto"/>
            </w:tcBorders>
            <w:shd w:val="clear" w:color="auto" w:fill="auto"/>
            <w:vAlign w:val="center"/>
            <w:hideMark/>
          </w:tcPr>
          <w:p w14:paraId="6DFE1B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EF48C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85CB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Aplikacja musi posiadać możliwość wprowadzenia opisu stanu technicznego obiektu. Na podstawie tych danych aplikacja automatycznie tworzy zlecenia, np. konieczność naprawy, wymiany, regulacji (czynności które nie pozwalają na wykonanie prac w danym zdarzeniu).</w:t>
            </w:r>
          </w:p>
        </w:tc>
        <w:tc>
          <w:tcPr>
            <w:tcW w:w="850" w:type="dxa"/>
            <w:tcBorders>
              <w:top w:val="nil"/>
              <w:left w:val="nil"/>
              <w:bottom w:val="single" w:sz="8" w:space="0" w:color="auto"/>
              <w:right w:val="single" w:sz="8" w:space="0" w:color="auto"/>
            </w:tcBorders>
            <w:shd w:val="clear" w:color="auto" w:fill="auto"/>
            <w:vAlign w:val="center"/>
            <w:hideMark/>
          </w:tcPr>
          <w:p w14:paraId="7DE7C7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56378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C843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Ilość zarejestrowanych zdarzeń bez ograniczeń.</w:t>
            </w:r>
          </w:p>
        </w:tc>
        <w:tc>
          <w:tcPr>
            <w:tcW w:w="850" w:type="dxa"/>
            <w:tcBorders>
              <w:top w:val="nil"/>
              <w:left w:val="nil"/>
              <w:bottom w:val="single" w:sz="8" w:space="0" w:color="auto"/>
              <w:right w:val="single" w:sz="8" w:space="0" w:color="auto"/>
            </w:tcBorders>
            <w:shd w:val="clear" w:color="auto" w:fill="auto"/>
            <w:vAlign w:val="center"/>
            <w:hideMark/>
          </w:tcPr>
          <w:p w14:paraId="72C5EE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A860DB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9D3CD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Rejestrowanie zdarzeń dla obiektu z poziomu mapy.</w:t>
            </w:r>
          </w:p>
        </w:tc>
        <w:tc>
          <w:tcPr>
            <w:tcW w:w="850" w:type="dxa"/>
            <w:tcBorders>
              <w:top w:val="nil"/>
              <w:left w:val="nil"/>
              <w:bottom w:val="single" w:sz="8" w:space="0" w:color="auto"/>
              <w:right w:val="single" w:sz="8" w:space="0" w:color="auto"/>
            </w:tcBorders>
            <w:shd w:val="clear" w:color="auto" w:fill="auto"/>
            <w:vAlign w:val="center"/>
            <w:hideMark/>
          </w:tcPr>
          <w:p w14:paraId="7733D52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DFCDAFD" w14:textId="77777777" w:rsidTr="00B97E7A">
        <w:trPr>
          <w:trHeight w:val="735"/>
        </w:trPr>
        <w:tc>
          <w:tcPr>
            <w:tcW w:w="9215" w:type="dxa"/>
            <w:tcBorders>
              <w:top w:val="nil"/>
              <w:left w:val="single" w:sz="8" w:space="0" w:color="auto"/>
              <w:bottom w:val="nil"/>
              <w:right w:val="single" w:sz="8" w:space="0" w:color="auto"/>
            </w:tcBorders>
            <w:shd w:val="clear" w:color="auto" w:fill="auto"/>
            <w:vAlign w:val="center"/>
            <w:hideMark/>
          </w:tcPr>
          <w:p w14:paraId="23C914C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Posiadać gotowe rejestry zdarzeń:</w:t>
            </w:r>
          </w:p>
        </w:tc>
        <w:tc>
          <w:tcPr>
            <w:tcW w:w="850" w:type="dxa"/>
            <w:tcBorders>
              <w:top w:val="nil"/>
              <w:left w:val="nil"/>
              <w:bottom w:val="single" w:sz="8" w:space="0" w:color="auto"/>
              <w:right w:val="single" w:sz="8" w:space="0" w:color="auto"/>
            </w:tcBorders>
            <w:shd w:val="clear" w:color="000000" w:fill="A6A6A6"/>
            <w:vAlign w:val="center"/>
            <w:hideMark/>
          </w:tcPr>
          <w:p w14:paraId="742DD97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631B50D" w14:textId="77777777" w:rsidTr="00B97E7A">
        <w:trPr>
          <w:trHeight w:val="5730"/>
        </w:trPr>
        <w:tc>
          <w:tcPr>
            <w:tcW w:w="9215" w:type="dxa"/>
            <w:tcBorders>
              <w:top w:val="single" w:sz="8" w:space="0" w:color="auto"/>
              <w:left w:val="single" w:sz="8" w:space="0" w:color="auto"/>
              <w:bottom w:val="nil"/>
              <w:right w:val="single" w:sz="8" w:space="0" w:color="auto"/>
            </w:tcBorders>
            <w:shd w:val="clear" w:color="auto" w:fill="auto"/>
            <w:vAlign w:val="center"/>
            <w:hideMark/>
          </w:tcPr>
          <w:p w14:paraId="0869E24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10.1. Rejestr płukań przewodów wodociągowych m.in.:</w:t>
            </w:r>
            <w:r w:rsidRPr="00B97E7A">
              <w:rPr>
                <w:rFonts w:ascii="Times New Roman" w:eastAsia="Times New Roman" w:hAnsi="Times New Roman" w:cs="Times New Roman"/>
                <w:kern w:val="0"/>
                <w:sz w:val="28"/>
                <w:szCs w:val="28"/>
                <w:lang w:eastAsia="pl-PL"/>
                <w14:ligatures w14:val="none"/>
              </w:rPr>
              <w:br/>
              <w:t>- Rejestr wykonywanych płukań: data, czas płukania, ilość zużytej wody wyliczana na podstawie stanu początkowego i końcowego licznika,</w:t>
            </w:r>
            <w:r w:rsidRPr="00B97E7A">
              <w:rPr>
                <w:rFonts w:ascii="Times New Roman" w:eastAsia="Times New Roman" w:hAnsi="Times New Roman" w:cs="Times New Roman"/>
                <w:kern w:val="0"/>
                <w:sz w:val="28"/>
                <w:szCs w:val="28"/>
                <w:lang w:eastAsia="pl-PL"/>
                <w14:ligatures w14:val="none"/>
              </w:rPr>
              <w:br/>
              <w:t>- Katalog rodzaju płukań z podziałem na np. planowane, interwencyjne, zgłoszenia,</w:t>
            </w:r>
            <w:r w:rsidRPr="00B97E7A">
              <w:rPr>
                <w:rFonts w:ascii="Times New Roman" w:eastAsia="Times New Roman" w:hAnsi="Times New Roman" w:cs="Times New Roman"/>
                <w:kern w:val="0"/>
                <w:sz w:val="28"/>
                <w:szCs w:val="28"/>
                <w:lang w:eastAsia="pl-PL"/>
                <w14:ligatures w14:val="none"/>
              </w:rPr>
              <w:br/>
              <w:t>- Słownik katalogu płukań musi być otwarty tj. gotowy do rozszerzenia i edycji,</w:t>
            </w:r>
            <w:r w:rsidRPr="00B97E7A">
              <w:rPr>
                <w:rFonts w:ascii="Times New Roman" w:eastAsia="Times New Roman" w:hAnsi="Times New Roman" w:cs="Times New Roman"/>
                <w:kern w:val="0"/>
                <w:sz w:val="28"/>
                <w:szCs w:val="28"/>
                <w:lang w:eastAsia="pl-PL"/>
                <w14:ligatures w14:val="none"/>
              </w:rPr>
              <w:br/>
              <w:t>- Rejestrowanie nakładów na rzecz płukania,</w:t>
            </w:r>
            <w:r w:rsidRPr="00B97E7A">
              <w:rPr>
                <w:rFonts w:ascii="Times New Roman" w:eastAsia="Times New Roman" w:hAnsi="Times New Roman" w:cs="Times New Roman"/>
                <w:kern w:val="0"/>
                <w:sz w:val="28"/>
                <w:szCs w:val="28"/>
                <w:lang w:eastAsia="pl-PL"/>
                <w14:ligatures w14:val="none"/>
              </w:rPr>
              <w:br/>
              <w:t>- Dodawanie lub usuwanie miejsc wykonywanych płukań,</w:t>
            </w:r>
            <w:r w:rsidRPr="00B97E7A">
              <w:rPr>
                <w:rFonts w:ascii="Times New Roman" w:eastAsia="Times New Roman" w:hAnsi="Times New Roman" w:cs="Times New Roman"/>
                <w:kern w:val="0"/>
                <w:sz w:val="28"/>
                <w:szCs w:val="28"/>
                <w:lang w:eastAsia="pl-PL"/>
                <w14:ligatures w14:val="none"/>
              </w:rPr>
              <w:br/>
              <w:t>- Określanie parametrów dla punktów płukań tj. ilość wody zużytej do płukania, długość odcinka, nazwa odcinka, średnica, ulica,</w:t>
            </w:r>
            <w:r w:rsidRPr="00B97E7A">
              <w:rPr>
                <w:rFonts w:ascii="Times New Roman" w:eastAsia="Times New Roman" w:hAnsi="Times New Roman" w:cs="Times New Roman"/>
                <w:kern w:val="0"/>
                <w:sz w:val="28"/>
                <w:szCs w:val="28"/>
                <w:lang w:eastAsia="pl-PL"/>
                <w14:ligatures w14:val="none"/>
              </w:rPr>
              <w:br/>
              <w:t>- Tworzenie harmonogramu płukań na podstawie kalendarza i cykliczności zdarzeń na obiekcie,</w:t>
            </w:r>
            <w:r w:rsidRPr="00B97E7A">
              <w:rPr>
                <w:rFonts w:ascii="Times New Roman" w:eastAsia="Times New Roman" w:hAnsi="Times New Roman" w:cs="Times New Roman"/>
                <w:kern w:val="0"/>
                <w:sz w:val="28"/>
                <w:szCs w:val="28"/>
                <w:lang w:eastAsia="pl-PL"/>
                <w14:ligatures w14:val="none"/>
              </w:rPr>
              <w:br/>
              <w:t>- Rejestrowanie daty poleceń płukań pokontrolnych - połączenie z obiegiem dokumentów (LOTUS),</w:t>
            </w:r>
            <w:r w:rsidRPr="00B97E7A">
              <w:rPr>
                <w:rFonts w:ascii="Times New Roman" w:eastAsia="Times New Roman" w:hAnsi="Times New Roman" w:cs="Times New Roman"/>
                <w:kern w:val="0"/>
                <w:sz w:val="28"/>
                <w:szCs w:val="28"/>
                <w:lang w:eastAsia="pl-PL"/>
                <w14:ligatures w14:val="none"/>
              </w:rPr>
              <w:br/>
              <w:t>- Rejestrowanie daty i godziny pobrania próbek oraz datę i opis wyników - połączenie z modułem Laboratorium,</w:t>
            </w:r>
          </w:p>
        </w:tc>
        <w:tc>
          <w:tcPr>
            <w:tcW w:w="850" w:type="dxa"/>
            <w:vMerge w:val="restart"/>
            <w:tcBorders>
              <w:top w:val="nil"/>
              <w:left w:val="nil"/>
              <w:bottom w:val="single" w:sz="8" w:space="0" w:color="000000"/>
              <w:right w:val="single" w:sz="8" w:space="0" w:color="auto"/>
            </w:tcBorders>
            <w:shd w:val="clear" w:color="auto" w:fill="auto"/>
            <w:vAlign w:val="center"/>
            <w:hideMark/>
          </w:tcPr>
          <w:p w14:paraId="611A3A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8918428" w14:textId="77777777" w:rsidTr="00B97E7A">
        <w:trPr>
          <w:trHeight w:val="528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FB93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Wizualizacja danych w postaci: tabeli; wykresu, tj. zdarzenia dla obiektu widoczne na osi czasu z możliwością jej przesuwania. Oś czasu z podziałem na: dzień tygodnia, dzień miesiąca, miesiąc, rok. Zdarzenia podzielone na rodzaje (płukania planowane, płukania pokontrolne, pobrania próbki, wyniki badania, harmonogram – cykliczność zdarzeń); przegląd wykresu dla celów przejrzyści odczytywanych danych musi być odpowiednio skalowany i pozwalać na odczytywanie danych z możliwością filtrowania, sortowania i płynnego przechodzenie od ogółu do szczegółu na osiach za pomocą przewijania na myszce komputerowej (oddalanie – przybliżanie) dla wybranego okresu ( od najdalej rok, …, do najbliżej dzień) i zakresu (od obiektu, …, do zdarzenia),</w:t>
            </w:r>
            <w:r w:rsidRPr="00B97E7A">
              <w:rPr>
                <w:rFonts w:ascii="Times New Roman" w:eastAsia="Times New Roman" w:hAnsi="Times New Roman" w:cs="Times New Roman"/>
                <w:kern w:val="0"/>
                <w:sz w:val="28"/>
                <w:szCs w:val="28"/>
                <w:lang w:eastAsia="pl-PL"/>
                <w14:ligatures w14:val="none"/>
              </w:rPr>
              <w:br/>
              <w:t>- Dodawanie lub usuwanie miejsc wykonywanych płukań na sieci wodociągowej,</w:t>
            </w:r>
            <w:r w:rsidRPr="00B97E7A">
              <w:rPr>
                <w:rFonts w:ascii="Times New Roman" w:eastAsia="Times New Roman" w:hAnsi="Times New Roman" w:cs="Times New Roman"/>
                <w:kern w:val="0"/>
                <w:sz w:val="28"/>
                <w:szCs w:val="28"/>
                <w:lang w:eastAsia="pl-PL"/>
                <w14:ligatures w14:val="none"/>
              </w:rPr>
              <w:br/>
              <w:t>- Automatyczne obliczenie ilości wody do wypłukania dla danego miejsca, okresu i zdarzenia,</w:t>
            </w:r>
            <w:r w:rsidRPr="00B97E7A">
              <w:rPr>
                <w:rFonts w:ascii="Times New Roman" w:eastAsia="Times New Roman" w:hAnsi="Times New Roman" w:cs="Times New Roman"/>
                <w:kern w:val="0"/>
                <w:sz w:val="28"/>
                <w:szCs w:val="28"/>
                <w:lang w:eastAsia="pl-PL"/>
                <w14:ligatures w14:val="none"/>
              </w:rPr>
              <w:br/>
              <w:t>- Rejestrowanie wyników badań.</w:t>
            </w:r>
          </w:p>
        </w:tc>
        <w:tc>
          <w:tcPr>
            <w:tcW w:w="850" w:type="dxa"/>
            <w:vMerge/>
            <w:tcBorders>
              <w:top w:val="nil"/>
              <w:left w:val="nil"/>
              <w:bottom w:val="single" w:sz="8" w:space="0" w:color="000000"/>
              <w:right w:val="single" w:sz="8" w:space="0" w:color="auto"/>
            </w:tcBorders>
            <w:vAlign w:val="center"/>
            <w:hideMark/>
          </w:tcPr>
          <w:p w14:paraId="7D5B7481"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0301A8D6"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87BFC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10.2. Rejestr przeglądów obiektów i urządzeń technologicznych m.in.:</w:t>
            </w:r>
            <w:r w:rsidRPr="00B97E7A">
              <w:rPr>
                <w:rFonts w:ascii="Times New Roman" w:eastAsia="Times New Roman" w:hAnsi="Times New Roman" w:cs="Times New Roman"/>
                <w:kern w:val="0"/>
                <w:sz w:val="28"/>
                <w:szCs w:val="28"/>
                <w:lang w:eastAsia="pl-PL"/>
                <w14:ligatures w14:val="none"/>
              </w:rPr>
              <w:br/>
              <w:t>- Rodzaj przeglądów– otwarty słownik,</w:t>
            </w:r>
            <w:r w:rsidRPr="00B97E7A">
              <w:rPr>
                <w:rFonts w:ascii="Times New Roman" w:eastAsia="Times New Roman" w:hAnsi="Times New Roman" w:cs="Times New Roman"/>
                <w:kern w:val="0"/>
                <w:sz w:val="28"/>
                <w:szCs w:val="28"/>
                <w:lang w:eastAsia="pl-PL"/>
                <w14:ligatures w14:val="none"/>
              </w:rPr>
              <w:br/>
              <w:t>- Zakres przeglądu (rodzaj obiektu, lokalizacja, parametry podjęte kontroli),</w:t>
            </w:r>
            <w:r w:rsidRPr="00B97E7A">
              <w:rPr>
                <w:rFonts w:ascii="Times New Roman" w:eastAsia="Times New Roman" w:hAnsi="Times New Roman" w:cs="Times New Roman"/>
                <w:kern w:val="0"/>
                <w:sz w:val="28"/>
                <w:szCs w:val="28"/>
                <w:lang w:eastAsia="pl-PL"/>
                <w14:ligatures w14:val="none"/>
              </w:rPr>
              <w:br/>
              <w:t>- Brygada przeprowadzająca przegląd,</w:t>
            </w:r>
            <w:r w:rsidRPr="00B97E7A">
              <w:rPr>
                <w:rFonts w:ascii="Times New Roman" w:eastAsia="Times New Roman" w:hAnsi="Times New Roman" w:cs="Times New Roman"/>
                <w:kern w:val="0"/>
                <w:sz w:val="28"/>
                <w:szCs w:val="28"/>
                <w:lang w:eastAsia="pl-PL"/>
                <w14:ligatures w14:val="none"/>
              </w:rPr>
              <w:br/>
              <w:t>- Datę i godzinę rozpoczęcia i zakończenia,</w:t>
            </w:r>
            <w:r w:rsidRPr="00B97E7A">
              <w:rPr>
                <w:rFonts w:ascii="Times New Roman" w:eastAsia="Times New Roman" w:hAnsi="Times New Roman" w:cs="Times New Roman"/>
                <w:kern w:val="0"/>
                <w:sz w:val="28"/>
                <w:szCs w:val="28"/>
                <w:lang w:eastAsia="pl-PL"/>
                <w14:ligatures w14:val="none"/>
              </w:rPr>
              <w:br/>
              <w:t>- Stan techniczny (indeksy typowych uszkodzeń – lista otwarta) dla typu obiektu m.in. zasuw, hydrantów, odpowietrzniki, odwodnienia, reduktory ciśnienia, stan komór i studni (właz, stopnie, kineta, itd.).</w:t>
            </w:r>
          </w:p>
        </w:tc>
        <w:tc>
          <w:tcPr>
            <w:tcW w:w="850" w:type="dxa"/>
            <w:tcBorders>
              <w:top w:val="nil"/>
              <w:left w:val="nil"/>
              <w:bottom w:val="single" w:sz="8" w:space="0" w:color="auto"/>
              <w:right w:val="single" w:sz="8" w:space="0" w:color="auto"/>
            </w:tcBorders>
            <w:shd w:val="clear" w:color="auto" w:fill="auto"/>
            <w:vAlign w:val="center"/>
            <w:hideMark/>
          </w:tcPr>
          <w:p w14:paraId="0FD53F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A01BA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B6CF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10.3. Rejestr przeglądów budynków i budowli technologicznych m.in.:</w:t>
            </w:r>
            <w:r w:rsidRPr="00B97E7A">
              <w:rPr>
                <w:rFonts w:ascii="Times New Roman" w:eastAsia="Times New Roman" w:hAnsi="Times New Roman" w:cs="Times New Roman"/>
                <w:kern w:val="0"/>
                <w:sz w:val="28"/>
                <w:szCs w:val="28"/>
                <w:lang w:eastAsia="pl-PL"/>
                <w14:ligatures w14:val="none"/>
              </w:rPr>
              <w:br/>
              <w:t>- Ujęcia wody, oczyszczalnie ścieków, stacje wodociągowe, pompownie wodociągowe i przepompownie część budowlana i instalacyjna.</w:t>
            </w:r>
          </w:p>
        </w:tc>
        <w:tc>
          <w:tcPr>
            <w:tcW w:w="850" w:type="dxa"/>
            <w:tcBorders>
              <w:top w:val="nil"/>
              <w:left w:val="nil"/>
              <w:bottom w:val="single" w:sz="8" w:space="0" w:color="auto"/>
              <w:right w:val="single" w:sz="8" w:space="0" w:color="auto"/>
            </w:tcBorders>
            <w:shd w:val="clear" w:color="auto" w:fill="auto"/>
            <w:vAlign w:val="center"/>
            <w:hideMark/>
          </w:tcPr>
          <w:p w14:paraId="0D3F0B4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76D463"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528B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10.4. Rejestr pracy sekcji diagnostycznej m.in.:</w:t>
            </w:r>
            <w:r w:rsidRPr="00B97E7A">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B97E7A">
              <w:rPr>
                <w:rFonts w:ascii="Times New Roman" w:eastAsia="Times New Roman" w:hAnsi="Times New Roman" w:cs="Times New Roman"/>
                <w:kern w:val="0"/>
                <w:sz w:val="28"/>
                <w:szCs w:val="28"/>
                <w:lang w:eastAsia="pl-PL"/>
                <w14:ligatures w14:val="none"/>
              </w:rPr>
              <w:br/>
              <w:t>- Datę i czas rozpoczęcia i zakończenia,</w:t>
            </w:r>
            <w:r w:rsidRPr="00B97E7A">
              <w:rPr>
                <w:rFonts w:ascii="Times New Roman" w:eastAsia="Times New Roman" w:hAnsi="Times New Roman" w:cs="Times New Roman"/>
                <w:kern w:val="0"/>
                <w:sz w:val="28"/>
                <w:szCs w:val="28"/>
                <w:lang w:eastAsia="pl-PL"/>
                <w14:ligatures w14:val="none"/>
              </w:rPr>
              <w:br/>
              <w:t>- Brygada,</w:t>
            </w:r>
            <w:r w:rsidRPr="00B97E7A">
              <w:rPr>
                <w:rFonts w:ascii="Times New Roman" w:eastAsia="Times New Roman" w:hAnsi="Times New Roman" w:cs="Times New Roman"/>
                <w:kern w:val="0"/>
                <w:sz w:val="28"/>
                <w:szCs w:val="28"/>
                <w:lang w:eastAsia="pl-PL"/>
                <w14:ligatures w14:val="none"/>
              </w:rPr>
              <w:br/>
              <w:t>- Rodzaj wykonywanej czynności (pomiar ciśnienia, lokalizacja wycieku, lokalizacja uzbrojenia, trasowanie przewodów, sprawdzenie szczelności, itp.).</w:t>
            </w:r>
          </w:p>
        </w:tc>
        <w:tc>
          <w:tcPr>
            <w:tcW w:w="850" w:type="dxa"/>
            <w:tcBorders>
              <w:top w:val="nil"/>
              <w:left w:val="nil"/>
              <w:bottom w:val="single" w:sz="8" w:space="0" w:color="auto"/>
              <w:right w:val="single" w:sz="8" w:space="0" w:color="auto"/>
            </w:tcBorders>
            <w:shd w:val="clear" w:color="auto" w:fill="auto"/>
            <w:vAlign w:val="center"/>
            <w:hideMark/>
          </w:tcPr>
          <w:p w14:paraId="04CCC3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098C33"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BE9D7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10.5. Rejestr pracy sekcji diagnostycznej – kamera TV, m.in.:</w:t>
            </w:r>
            <w:r w:rsidRPr="00B97E7A">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B97E7A">
              <w:rPr>
                <w:rFonts w:ascii="Times New Roman" w:eastAsia="Times New Roman" w:hAnsi="Times New Roman" w:cs="Times New Roman"/>
                <w:kern w:val="0"/>
                <w:sz w:val="28"/>
                <w:szCs w:val="28"/>
                <w:lang w:eastAsia="pl-PL"/>
                <w14:ligatures w14:val="none"/>
              </w:rPr>
              <w:br/>
              <w:t>- Datę i czas rozpoczęcia i zakończenia,</w:t>
            </w:r>
            <w:r w:rsidRPr="00B97E7A">
              <w:rPr>
                <w:rFonts w:ascii="Times New Roman" w:eastAsia="Times New Roman" w:hAnsi="Times New Roman" w:cs="Times New Roman"/>
                <w:kern w:val="0"/>
                <w:sz w:val="28"/>
                <w:szCs w:val="28"/>
                <w:lang w:eastAsia="pl-PL"/>
                <w14:ligatures w14:val="none"/>
              </w:rPr>
              <w:br/>
              <w:t>- Brygada,</w:t>
            </w:r>
            <w:r w:rsidRPr="00B97E7A">
              <w:rPr>
                <w:rFonts w:ascii="Times New Roman" w:eastAsia="Times New Roman" w:hAnsi="Times New Roman" w:cs="Times New Roman"/>
                <w:kern w:val="0"/>
                <w:sz w:val="28"/>
                <w:szCs w:val="28"/>
                <w:lang w:eastAsia="pl-PL"/>
                <w14:ligatures w14:val="none"/>
              </w:rPr>
              <w:br/>
              <w:t>- Rodzaj przeglądu (okresowy, odbiorowy, kontrolny),</w:t>
            </w:r>
            <w:r w:rsidRPr="00B97E7A">
              <w:rPr>
                <w:rFonts w:ascii="Times New Roman" w:eastAsia="Times New Roman" w:hAnsi="Times New Roman" w:cs="Times New Roman"/>
                <w:kern w:val="0"/>
                <w:sz w:val="28"/>
                <w:szCs w:val="28"/>
                <w:lang w:eastAsia="pl-PL"/>
                <w14:ligatures w14:val="none"/>
              </w:rPr>
              <w:br/>
              <w:t>- Stany kanału.</w:t>
            </w:r>
          </w:p>
        </w:tc>
        <w:tc>
          <w:tcPr>
            <w:tcW w:w="850" w:type="dxa"/>
            <w:tcBorders>
              <w:top w:val="nil"/>
              <w:left w:val="nil"/>
              <w:bottom w:val="single" w:sz="8" w:space="0" w:color="auto"/>
              <w:right w:val="single" w:sz="8" w:space="0" w:color="auto"/>
            </w:tcBorders>
            <w:shd w:val="clear" w:color="auto" w:fill="auto"/>
            <w:vAlign w:val="center"/>
            <w:hideMark/>
          </w:tcPr>
          <w:p w14:paraId="7EAC1E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343A7E"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5452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10.6. Rejestr czyszczenia sieci kanalizacyjnej:</w:t>
            </w:r>
            <w:r w:rsidRPr="00B97E7A">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B97E7A">
              <w:rPr>
                <w:rFonts w:ascii="Times New Roman" w:eastAsia="Times New Roman" w:hAnsi="Times New Roman" w:cs="Times New Roman"/>
                <w:kern w:val="0"/>
                <w:sz w:val="28"/>
                <w:szCs w:val="28"/>
                <w:lang w:eastAsia="pl-PL"/>
                <w14:ligatures w14:val="none"/>
              </w:rPr>
              <w:br/>
              <w:t>- Datę i czas rozpoczęcia i zakończenia,</w:t>
            </w:r>
            <w:r w:rsidRPr="00B97E7A">
              <w:rPr>
                <w:rFonts w:ascii="Times New Roman" w:eastAsia="Times New Roman" w:hAnsi="Times New Roman" w:cs="Times New Roman"/>
                <w:kern w:val="0"/>
                <w:sz w:val="28"/>
                <w:szCs w:val="28"/>
                <w:lang w:eastAsia="pl-PL"/>
                <w14:ligatures w14:val="none"/>
              </w:rPr>
              <w:br/>
              <w:t>- Brygada,</w:t>
            </w:r>
            <w:r w:rsidRPr="00B97E7A">
              <w:rPr>
                <w:rFonts w:ascii="Times New Roman" w:eastAsia="Times New Roman" w:hAnsi="Times New Roman" w:cs="Times New Roman"/>
                <w:kern w:val="0"/>
                <w:sz w:val="28"/>
                <w:szCs w:val="28"/>
                <w:lang w:eastAsia="pl-PL"/>
                <w14:ligatures w14:val="none"/>
              </w:rPr>
              <w:br/>
              <w:t>- Ilość ścieków,</w:t>
            </w:r>
            <w:r w:rsidRPr="00B97E7A">
              <w:rPr>
                <w:rFonts w:ascii="Times New Roman" w:eastAsia="Times New Roman" w:hAnsi="Times New Roman" w:cs="Times New Roman"/>
                <w:kern w:val="0"/>
                <w:sz w:val="28"/>
                <w:szCs w:val="28"/>
                <w:lang w:eastAsia="pl-PL"/>
                <w14:ligatures w14:val="none"/>
              </w:rPr>
              <w:br/>
              <w:t>- Ilość zużytej wody.</w:t>
            </w:r>
          </w:p>
        </w:tc>
        <w:tc>
          <w:tcPr>
            <w:tcW w:w="850" w:type="dxa"/>
            <w:tcBorders>
              <w:top w:val="nil"/>
              <w:left w:val="nil"/>
              <w:bottom w:val="single" w:sz="8" w:space="0" w:color="auto"/>
              <w:right w:val="single" w:sz="8" w:space="0" w:color="auto"/>
            </w:tcBorders>
            <w:shd w:val="clear" w:color="auto" w:fill="auto"/>
            <w:vAlign w:val="center"/>
            <w:hideMark/>
          </w:tcPr>
          <w:p w14:paraId="0EE527C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906C2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B499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Zdarzenia zwizualizowane w harmonogramie, wykresie i na mapie w postaci symboli (np. niebieska kropelka – woda wyłączona), kolorów, punktowo i liniowo.</w:t>
            </w:r>
          </w:p>
        </w:tc>
        <w:tc>
          <w:tcPr>
            <w:tcW w:w="850" w:type="dxa"/>
            <w:tcBorders>
              <w:top w:val="nil"/>
              <w:left w:val="nil"/>
              <w:bottom w:val="single" w:sz="8" w:space="0" w:color="auto"/>
              <w:right w:val="single" w:sz="8" w:space="0" w:color="auto"/>
            </w:tcBorders>
            <w:shd w:val="clear" w:color="auto" w:fill="auto"/>
            <w:vAlign w:val="center"/>
            <w:hideMark/>
          </w:tcPr>
          <w:p w14:paraId="69730B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9D6D73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912A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W przypadku obiektów liniowych aplikacja musi umożliwiać wskazanie dowolnego wybranego miejsca wzdłuż obiektu liniowego (np. awarie) i wskazanie zdarzenia liniowo np. czyszczenie kanału.</w:t>
            </w:r>
          </w:p>
        </w:tc>
        <w:tc>
          <w:tcPr>
            <w:tcW w:w="850" w:type="dxa"/>
            <w:tcBorders>
              <w:top w:val="nil"/>
              <w:left w:val="nil"/>
              <w:bottom w:val="single" w:sz="8" w:space="0" w:color="auto"/>
              <w:right w:val="single" w:sz="8" w:space="0" w:color="auto"/>
            </w:tcBorders>
            <w:shd w:val="clear" w:color="auto" w:fill="auto"/>
            <w:vAlign w:val="center"/>
            <w:hideMark/>
          </w:tcPr>
          <w:p w14:paraId="6421A57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44165E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0C6B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Zestawienie zdarzeń dla dowolnej przestrzeni czasowej.</w:t>
            </w:r>
          </w:p>
        </w:tc>
        <w:tc>
          <w:tcPr>
            <w:tcW w:w="850" w:type="dxa"/>
            <w:tcBorders>
              <w:top w:val="nil"/>
              <w:left w:val="nil"/>
              <w:bottom w:val="single" w:sz="8" w:space="0" w:color="auto"/>
              <w:right w:val="single" w:sz="8" w:space="0" w:color="auto"/>
            </w:tcBorders>
            <w:shd w:val="clear" w:color="auto" w:fill="auto"/>
            <w:vAlign w:val="center"/>
            <w:hideMark/>
          </w:tcPr>
          <w:p w14:paraId="717659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BE7369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EF80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Analiza czynności z dowolnym wyborem atrybutu obiektu, miejsca powstania, w czasie.</w:t>
            </w:r>
          </w:p>
        </w:tc>
        <w:tc>
          <w:tcPr>
            <w:tcW w:w="850" w:type="dxa"/>
            <w:tcBorders>
              <w:top w:val="nil"/>
              <w:left w:val="nil"/>
              <w:bottom w:val="single" w:sz="8" w:space="0" w:color="auto"/>
              <w:right w:val="single" w:sz="8" w:space="0" w:color="auto"/>
            </w:tcBorders>
            <w:shd w:val="clear" w:color="auto" w:fill="auto"/>
            <w:vAlign w:val="center"/>
            <w:hideMark/>
          </w:tcPr>
          <w:p w14:paraId="6E2FD4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598EC7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2705E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Zlecenia</w:t>
            </w:r>
          </w:p>
        </w:tc>
        <w:tc>
          <w:tcPr>
            <w:tcW w:w="850" w:type="dxa"/>
            <w:tcBorders>
              <w:top w:val="nil"/>
              <w:left w:val="nil"/>
              <w:bottom w:val="single" w:sz="8" w:space="0" w:color="auto"/>
              <w:right w:val="single" w:sz="8" w:space="0" w:color="auto"/>
            </w:tcBorders>
            <w:shd w:val="clear" w:color="000000" w:fill="A6A6A6"/>
            <w:vAlign w:val="center"/>
            <w:hideMark/>
          </w:tcPr>
          <w:p w14:paraId="641ADC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674BB5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B4A90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Aplikacja musi posiadać rejestr zleceń.</w:t>
            </w:r>
          </w:p>
        </w:tc>
        <w:tc>
          <w:tcPr>
            <w:tcW w:w="850" w:type="dxa"/>
            <w:tcBorders>
              <w:top w:val="nil"/>
              <w:left w:val="nil"/>
              <w:bottom w:val="single" w:sz="8" w:space="0" w:color="auto"/>
              <w:right w:val="single" w:sz="8" w:space="0" w:color="auto"/>
            </w:tcBorders>
            <w:shd w:val="clear" w:color="auto" w:fill="auto"/>
            <w:vAlign w:val="center"/>
            <w:hideMark/>
          </w:tcPr>
          <w:p w14:paraId="5BC5986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8DC1F0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434E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Zlecenia muszą posiadać priorytety i możliwość ich pogrupowania, np. w koszyku zleceń.</w:t>
            </w:r>
          </w:p>
        </w:tc>
        <w:tc>
          <w:tcPr>
            <w:tcW w:w="850" w:type="dxa"/>
            <w:tcBorders>
              <w:top w:val="nil"/>
              <w:left w:val="nil"/>
              <w:bottom w:val="single" w:sz="8" w:space="0" w:color="auto"/>
              <w:right w:val="single" w:sz="8" w:space="0" w:color="auto"/>
            </w:tcBorders>
            <w:shd w:val="clear" w:color="auto" w:fill="auto"/>
            <w:vAlign w:val="center"/>
            <w:hideMark/>
          </w:tcPr>
          <w:p w14:paraId="3C2454F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54FF6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9F62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Zlecenia muszą posiadać możliwość opisu planu działań ręcznie oraz uzupełniane z listy wyboru. Lista wyboru musi być otwarta do uzupełniania i edycji.</w:t>
            </w:r>
          </w:p>
        </w:tc>
        <w:tc>
          <w:tcPr>
            <w:tcW w:w="850" w:type="dxa"/>
            <w:tcBorders>
              <w:top w:val="nil"/>
              <w:left w:val="nil"/>
              <w:bottom w:val="single" w:sz="8" w:space="0" w:color="auto"/>
              <w:right w:val="single" w:sz="8" w:space="0" w:color="auto"/>
            </w:tcBorders>
            <w:shd w:val="clear" w:color="auto" w:fill="auto"/>
            <w:vAlign w:val="center"/>
            <w:hideMark/>
          </w:tcPr>
          <w:p w14:paraId="7094A39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17EA65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D6A53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Zlecenie muszą posiadać statusy (np. Do realizacji, W realizacji, Zakończone, Zamknięty, Anulowany, itp.) wybierane z definiowalnego słownika statusów – słownik otwarty.</w:t>
            </w:r>
          </w:p>
        </w:tc>
        <w:tc>
          <w:tcPr>
            <w:tcW w:w="850" w:type="dxa"/>
            <w:tcBorders>
              <w:top w:val="nil"/>
              <w:left w:val="nil"/>
              <w:bottom w:val="single" w:sz="8" w:space="0" w:color="auto"/>
              <w:right w:val="single" w:sz="8" w:space="0" w:color="auto"/>
            </w:tcBorders>
            <w:shd w:val="clear" w:color="auto" w:fill="auto"/>
            <w:vAlign w:val="center"/>
            <w:hideMark/>
          </w:tcPr>
          <w:p w14:paraId="398D6C4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A016E6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C068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Zlecenia powiązane z obiektami.</w:t>
            </w:r>
          </w:p>
        </w:tc>
        <w:tc>
          <w:tcPr>
            <w:tcW w:w="850" w:type="dxa"/>
            <w:tcBorders>
              <w:top w:val="nil"/>
              <w:left w:val="nil"/>
              <w:bottom w:val="single" w:sz="8" w:space="0" w:color="auto"/>
              <w:right w:val="single" w:sz="8" w:space="0" w:color="auto"/>
            </w:tcBorders>
            <w:shd w:val="clear" w:color="auto" w:fill="auto"/>
            <w:vAlign w:val="center"/>
            <w:hideMark/>
          </w:tcPr>
          <w:p w14:paraId="5A7C34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8B0A1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F5B4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Zlecenia powiązane z elektronicznym dziennikiem dyspozytorskim.</w:t>
            </w:r>
          </w:p>
        </w:tc>
        <w:tc>
          <w:tcPr>
            <w:tcW w:w="850" w:type="dxa"/>
            <w:tcBorders>
              <w:top w:val="nil"/>
              <w:left w:val="nil"/>
              <w:bottom w:val="single" w:sz="8" w:space="0" w:color="auto"/>
              <w:right w:val="single" w:sz="8" w:space="0" w:color="auto"/>
            </w:tcBorders>
            <w:shd w:val="clear" w:color="auto" w:fill="auto"/>
            <w:vAlign w:val="center"/>
            <w:hideMark/>
          </w:tcPr>
          <w:p w14:paraId="140FAE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A45F60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1E146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Moduł musi posiadać możliwość tworzenia zleceń krótkoterminowych (pomocniczych) i długoterminowych (eksploatacyjnych).</w:t>
            </w:r>
          </w:p>
        </w:tc>
        <w:tc>
          <w:tcPr>
            <w:tcW w:w="850" w:type="dxa"/>
            <w:tcBorders>
              <w:top w:val="nil"/>
              <w:left w:val="nil"/>
              <w:bottom w:val="single" w:sz="8" w:space="0" w:color="auto"/>
              <w:right w:val="single" w:sz="8" w:space="0" w:color="auto"/>
            </w:tcBorders>
            <w:shd w:val="clear" w:color="auto" w:fill="auto"/>
            <w:vAlign w:val="center"/>
            <w:hideMark/>
          </w:tcPr>
          <w:p w14:paraId="7C01C09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54E13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FD86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automatycznego zamykania zlecenia krótkoterminowego po zakończeniu prac przez system po upływie wyznaczonego czasu.</w:t>
            </w:r>
          </w:p>
        </w:tc>
        <w:tc>
          <w:tcPr>
            <w:tcW w:w="850" w:type="dxa"/>
            <w:tcBorders>
              <w:top w:val="nil"/>
              <w:left w:val="nil"/>
              <w:bottom w:val="single" w:sz="8" w:space="0" w:color="auto"/>
              <w:right w:val="single" w:sz="8" w:space="0" w:color="auto"/>
            </w:tcBorders>
            <w:shd w:val="clear" w:color="auto" w:fill="auto"/>
            <w:vAlign w:val="center"/>
            <w:hideMark/>
          </w:tcPr>
          <w:p w14:paraId="512C08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500190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518A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posiadać możliwość zmiany statusów zleceń z poziomu obiektu, który można dowolnie wybrać z dostępnych sposobów ewidencji obiektów.</w:t>
            </w:r>
          </w:p>
        </w:tc>
        <w:tc>
          <w:tcPr>
            <w:tcW w:w="850" w:type="dxa"/>
            <w:tcBorders>
              <w:top w:val="nil"/>
              <w:left w:val="nil"/>
              <w:bottom w:val="single" w:sz="8" w:space="0" w:color="auto"/>
              <w:right w:val="single" w:sz="8" w:space="0" w:color="auto"/>
            </w:tcBorders>
            <w:shd w:val="clear" w:color="auto" w:fill="auto"/>
            <w:vAlign w:val="center"/>
            <w:hideMark/>
          </w:tcPr>
          <w:p w14:paraId="633074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C4DEFE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CDEE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Rejestr działań na zleceniach (np. dyspozycja, akceptacja, powiadomienie, potwierdzenie, przekazywanie) z możliwością definiowania nowych działań.</w:t>
            </w:r>
          </w:p>
        </w:tc>
        <w:tc>
          <w:tcPr>
            <w:tcW w:w="850" w:type="dxa"/>
            <w:tcBorders>
              <w:top w:val="nil"/>
              <w:left w:val="nil"/>
              <w:bottom w:val="single" w:sz="8" w:space="0" w:color="auto"/>
              <w:right w:val="single" w:sz="8" w:space="0" w:color="auto"/>
            </w:tcBorders>
            <w:shd w:val="clear" w:color="auto" w:fill="auto"/>
            <w:vAlign w:val="center"/>
            <w:hideMark/>
          </w:tcPr>
          <w:p w14:paraId="1A474C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5FD010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F9A6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Aplikacja musi umożliwiać wysłanie zlecenia do urządzenia mobilnego wraz funkcją powiadomienia dźwiękowego.</w:t>
            </w:r>
          </w:p>
        </w:tc>
        <w:tc>
          <w:tcPr>
            <w:tcW w:w="850" w:type="dxa"/>
            <w:tcBorders>
              <w:top w:val="nil"/>
              <w:left w:val="nil"/>
              <w:bottom w:val="single" w:sz="8" w:space="0" w:color="auto"/>
              <w:right w:val="single" w:sz="8" w:space="0" w:color="auto"/>
            </w:tcBorders>
            <w:shd w:val="clear" w:color="auto" w:fill="auto"/>
            <w:vAlign w:val="center"/>
            <w:hideMark/>
          </w:tcPr>
          <w:p w14:paraId="487CC77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F0E30A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1DAA3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Definiowalny słownik typów zlecenia.</w:t>
            </w:r>
          </w:p>
        </w:tc>
        <w:tc>
          <w:tcPr>
            <w:tcW w:w="850" w:type="dxa"/>
            <w:tcBorders>
              <w:top w:val="nil"/>
              <w:left w:val="nil"/>
              <w:bottom w:val="single" w:sz="8" w:space="0" w:color="auto"/>
              <w:right w:val="single" w:sz="8" w:space="0" w:color="auto"/>
            </w:tcBorders>
            <w:shd w:val="clear" w:color="auto" w:fill="auto"/>
            <w:vAlign w:val="center"/>
            <w:hideMark/>
          </w:tcPr>
          <w:p w14:paraId="3B16A6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D3D999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6E5C9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Każde zlecenie/projekt musi posiadać indywidualny numer.</w:t>
            </w:r>
          </w:p>
        </w:tc>
        <w:tc>
          <w:tcPr>
            <w:tcW w:w="850" w:type="dxa"/>
            <w:tcBorders>
              <w:top w:val="nil"/>
              <w:left w:val="nil"/>
              <w:bottom w:val="single" w:sz="8" w:space="0" w:color="auto"/>
              <w:right w:val="single" w:sz="8" w:space="0" w:color="auto"/>
            </w:tcBorders>
            <w:shd w:val="clear" w:color="auto" w:fill="auto"/>
            <w:vAlign w:val="center"/>
            <w:hideMark/>
          </w:tcPr>
          <w:p w14:paraId="3AE34E3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5EEEC1F" w14:textId="77777777" w:rsidTr="00B97E7A">
        <w:trPr>
          <w:trHeight w:val="33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3ABD8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Numerator zleceń zgodny z istniejącym obecnie w MWiK - każde zlecenie/projekt musi składać się z 4 liter i sześciu cyfr, np. KW PF000001. Pierwsze dwie litery muszą określać grupę zlecenia/projektu, kolejne dwie litery muszą określać dział lub rodzaj wykonywanych robót. W przypadku projektów długoterminowych numer projektu uporządkowany kolejno do nowo otwieranego zlecenia rozpoczynając od 000001. W przypadku projektów krótkoterminowych, Pierwsze dwie cyfry muszą określać rok pozostałe cztery cyfry muszą określać kolejność tworzenia zleceń rozpoczynając od 0001 dla każdego roku kalendarzowego.</w:t>
            </w:r>
          </w:p>
        </w:tc>
        <w:tc>
          <w:tcPr>
            <w:tcW w:w="850" w:type="dxa"/>
            <w:tcBorders>
              <w:top w:val="nil"/>
              <w:left w:val="nil"/>
              <w:bottom w:val="single" w:sz="8" w:space="0" w:color="auto"/>
              <w:right w:val="single" w:sz="8" w:space="0" w:color="auto"/>
            </w:tcBorders>
            <w:shd w:val="clear" w:color="auto" w:fill="auto"/>
            <w:vAlign w:val="center"/>
            <w:hideMark/>
          </w:tcPr>
          <w:p w14:paraId="0B85C54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F62C24"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E530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Do każdego typu zlecenia należy umożliwić stworzenie listy zadań do wykonania i zdefiniowanych danych do uzupełnienia (np. godzina zamknięcia wody, oznakowanie robót, godzina otwarcia wody, głębokość przewodu, przyczyna awarii, np. złamanie poprzeczne, pęknięcie wzdłużne, perforacja, nieszczelność na kielichu/złączu, uszkodzenie mechaniczne, itp.) wybieranych z definiowalnego słownika.</w:t>
            </w:r>
          </w:p>
        </w:tc>
        <w:tc>
          <w:tcPr>
            <w:tcW w:w="850" w:type="dxa"/>
            <w:tcBorders>
              <w:top w:val="nil"/>
              <w:left w:val="nil"/>
              <w:bottom w:val="single" w:sz="8" w:space="0" w:color="auto"/>
              <w:right w:val="single" w:sz="8" w:space="0" w:color="auto"/>
            </w:tcBorders>
            <w:shd w:val="clear" w:color="auto" w:fill="auto"/>
            <w:vAlign w:val="center"/>
            <w:hideMark/>
          </w:tcPr>
          <w:p w14:paraId="487858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1BADEA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0845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wstawienia dowolnej informacji do zadania (np. notatka, zdjęcie, uwagi, itp.).</w:t>
            </w:r>
          </w:p>
        </w:tc>
        <w:tc>
          <w:tcPr>
            <w:tcW w:w="850" w:type="dxa"/>
            <w:tcBorders>
              <w:top w:val="nil"/>
              <w:left w:val="nil"/>
              <w:bottom w:val="single" w:sz="8" w:space="0" w:color="auto"/>
              <w:right w:val="single" w:sz="8" w:space="0" w:color="auto"/>
            </w:tcBorders>
            <w:shd w:val="clear" w:color="auto" w:fill="auto"/>
            <w:vAlign w:val="center"/>
            <w:hideMark/>
          </w:tcPr>
          <w:p w14:paraId="5E67086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7EB71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FC17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Tworzenie szablonów zadań dla grupy zleceń.</w:t>
            </w:r>
          </w:p>
        </w:tc>
        <w:tc>
          <w:tcPr>
            <w:tcW w:w="850" w:type="dxa"/>
            <w:tcBorders>
              <w:top w:val="nil"/>
              <w:left w:val="nil"/>
              <w:bottom w:val="single" w:sz="8" w:space="0" w:color="auto"/>
              <w:right w:val="single" w:sz="8" w:space="0" w:color="auto"/>
            </w:tcBorders>
            <w:shd w:val="clear" w:color="auto" w:fill="auto"/>
            <w:vAlign w:val="center"/>
            <w:hideMark/>
          </w:tcPr>
          <w:p w14:paraId="2A1A1AB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7E25D1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42CF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Wprowadzanie notatek ręcznie i za pomocą transkrypcji.</w:t>
            </w:r>
          </w:p>
        </w:tc>
        <w:tc>
          <w:tcPr>
            <w:tcW w:w="850" w:type="dxa"/>
            <w:tcBorders>
              <w:top w:val="nil"/>
              <w:left w:val="nil"/>
              <w:bottom w:val="single" w:sz="8" w:space="0" w:color="auto"/>
              <w:right w:val="single" w:sz="8" w:space="0" w:color="auto"/>
            </w:tcBorders>
            <w:shd w:val="clear" w:color="auto" w:fill="auto"/>
            <w:vAlign w:val="center"/>
            <w:hideMark/>
          </w:tcPr>
          <w:p w14:paraId="4C1CCC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563D6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1AA5E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Rejestracja czasu wykonywanych zadań.</w:t>
            </w:r>
          </w:p>
        </w:tc>
        <w:tc>
          <w:tcPr>
            <w:tcW w:w="850" w:type="dxa"/>
            <w:tcBorders>
              <w:top w:val="nil"/>
              <w:left w:val="nil"/>
              <w:bottom w:val="single" w:sz="8" w:space="0" w:color="auto"/>
              <w:right w:val="single" w:sz="8" w:space="0" w:color="auto"/>
            </w:tcBorders>
            <w:shd w:val="clear" w:color="auto" w:fill="auto"/>
            <w:vAlign w:val="center"/>
            <w:hideMark/>
          </w:tcPr>
          <w:p w14:paraId="235A971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C68F8A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15AD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Współdzielenie zleceń z innymi jednostkami organizacyjnymi ("podzlecenia").</w:t>
            </w:r>
          </w:p>
        </w:tc>
        <w:tc>
          <w:tcPr>
            <w:tcW w:w="850" w:type="dxa"/>
            <w:tcBorders>
              <w:top w:val="nil"/>
              <w:left w:val="nil"/>
              <w:bottom w:val="single" w:sz="8" w:space="0" w:color="auto"/>
              <w:right w:val="single" w:sz="8" w:space="0" w:color="auto"/>
            </w:tcBorders>
            <w:shd w:val="clear" w:color="auto" w:fill="auto"/>
            <w:vAlign w:val="center"/>
            <w:hideMark/>
          </w:tcPr>
          <w:p w14:paraId="549F40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36FA47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1724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Zlecenie musi umożliwić rejestrację miejsca powstania kosztów.</w:t>
            </w:r>
          </w:p>
        </w:tc>
        <w:tc>
          <w:tcPr>
            <w:tcW w:w="850" w:type="dxa"/>
            <w:tcBorders>
              <w:top w:val="nil"/>
              <w:left w:val="nil"/>
              <w:bottom w:val="single" w:sz="8" w:space="0" w:color="auto"/>
              <w:right w:val="single" w:sz="8" w:space="0" w:color="auto"/>
            </w:tcBorders>
            <w:shd w:val="clear" w:color="auto" w:fill="auto"/>
            <w:vAlign w:val="center"/>
            <w:hideMark/>
          </w:tcPr>
          <w:p w14:paraId="2CDBB3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8A993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05B8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rejestracji i podglądu kosztów, robocizny, materiałów i sprzętu.</w:t>
            </w:r>
          </w:p>
        </w:tc>
        <w:tc>
          <w:tcPr>
            <w:tcW w:w="850" w:type="dxa"/>
            <w:tcBorders>
              <w:top w:val="nil"/>
              <w:left w:val="nil"/>
              <w:bottom w:val="single" w:sz="8" w:space="0" w:color="auto"/>
              <w:right w:val="single" w:sz="8" w:space="0" w:color="auto"/>
            </w:tcBorders>
            <w:shd w:val="clear" w:color="auto" w:fill="auto"/>
            <w:vAlign w:val="center"/>
            <w:hideMark/>
          </w:tcPr>
          <w:p w14:paraId="0F74D1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0AC808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24F7A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analizowania zdarzeń w rozbiciu na rodzaje, miejsca powstania w czasie.</w:t>
            </w:r>
          </w:p>
        </w:tc>
        <w:tc>
          <w:tcPr>
            <w:tcW w:w="850" w:type="dxa"/>
            <w:tcBorders>
              <w:top w:val="nil"/>
              <w:left w:val="nil"/>
              <w:bottom w:val="single" w:sz="8" w:space="0" w:color="auto"/>
              <w:right w:val="single" w:sz="8" w:space="0" w:color="auto"/>
            </w:tcBorders>
            <w:shd w:val="clear" w:color="auto" w:fill="auto"/>
            <w:vAlign w:val="center"/>
            <w:hideMark/>
          </w:tcPr>
          <w:p w14:paraId="4C3E64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50542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CBA6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analizy kosztów z poziomu zlecenia/projekt.</w:t>
            </w:r>
          </w:p>
        </w:tc>
        <w:tc>
          <w:tcPr>
            <w:tcW w:w="850" w:type="dxa"/>
            <w:tcBorders>
              <w:top w:val="nil"/>
              <w:left w:val="nil"/>
              <w:bottom w:val="single" w:sz="8" w:space="0" w:color="auto"/>
              <w:right w:val="single" w:sz="8" w:space="0" w:color="auto"/>
            </w:tcBorders>
            <w:shd w:val="clear" w:color="auto" w:fill="auto"/>
            <w:vAlign w:val="center"/>
            <w:hideMark/>
          </w:tcPr>
          <w:p w14:paraId="53B655C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F73648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E6630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25. Rejestracja prac niebezpiecznych.</w:t>
            </w:r>
          </w:p>
        </w:tc>
        <w:tc>
          <w:tcPr>
            <w:tcW w:w="850" w:type="dxa"/>
            <w:tcBorders>
              <w:top w:val="nil"/>
              <w:left w:val="nil"/>
              <w:bottom w:val="single" w:sz="8" w:space="0" w:color="auto"/>
              <w:right w:val="single" w:sz="8" w:space="0" w:color="auto"/>
            </w:tcBorders>
            <w:shd w:val="clear" w:color="auto" w:fill="auto"/>
            <w:vAlign w:val="center"/>
            <w:hideMark/>
          </w:tcPr>
          <w:p w14:paraId="7272F6C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9012B7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E456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Rejestr zastosowanych środków bezpieczeństwa.</w:t>
            </w:r>
          </w:p>
        </w:tc>
        <w:tc>
          <w:tcPr>
            <w:tcW w:w="850" w:type="dxa"/>
            <w:tcBorders>
              <w:top w:val="nil"/>
              <w:left w:val="nil"/>
              <w:bottom w:val="single" w:sz="8" w:space="0" w:color="auto"/>
              <w:right w:val="single" w:sz="8" w:space="0" w:color="auto"/>
            </w:tcBorders>
            <w:shd w:val="clear" w:color="auto" w:fill="auto"/>
            <w:vAlign w:val="center"/>
            <w:hideMark/>
          </w:tcPr>
          <w:p w14:paraId="7ACF97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CA89F5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EC25CE"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Harmonogram robót i planowanie</w:t>
            </w:r>
          </w:p>
        </w:tc>
        <w:tc>
          <w:tcPr>
            <w:tcW w:w="850" w:type="dxa"/>
            <w:tcBorders>
              <w:top w:val="nil"/>
              <w:left w:val="nil"/>
              <w:bottom w:val="single" w:sz="8" w:space="0" w:color="auto"/>
              <w:right w:val="single" w:sz="8" w:space="0" w:color="auto"/>
            </w:tcBorders>
            <w:shd w:val="clear" w:color="000000" w:fill="A6A6A6"/>
            <w:vAlign w:val="center"/>
            <w:hideMark/>
          </w:tcPr>
          <w:p w14:paraId="5A73199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1290F9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F5103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Każdy obiekt musi posiadać możliwość ustawienia harmonogramu.</w:t>
            </w:r>
          </w:p>
        </w:tc>
        <w:tc>
          <w:tcPr>
            <w:tcW w:w="850" w:type="dxa"/>
            <w:tcBorders>
              <w:top w:val="nil"/>
              <w:left w:val="nil"/>
              <w:bottom w:val="single" w:sz="8" w:space="0" w:color="auto"/>
              <w:right w:val="single" w:sz="8" w:space="0" w:color="auto"/>
            </w:tcBorders>
            <w:shd w:val="clear" w:color="auto" w:fill="auto"/>
            <w:vAlign w:val="center"/>
            <w:hideMark/>
          </w:tcPr>
          <w:p w14:paraId="437BD8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094CCA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48654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Harmonogram tworzony na podstawie cykliczności zadań.</w:t>
            </w:r>
          </w:p>
        </w:tc>
        <w:tc>
          <w:tcPr>
            <w:tcW w:w="850" w:type="dxa"/>
            <w:tcBorders>
              <w:top w:val="nil"/>
              <w:left w:val="nil"/>
              <w:bottom w:val="single" w:sz="8" w:space="0" w:color="auto"/>
              <w:right w:val="single" w:sz="8" w:space="0" w:color="auto"/>
            </w:tcBorders>
            <w:shd w:val="clear" w:color="auto" w:fill="auto"/>
            <w:vAlign w:val="center"/>
            <w:hideMark/>
          </w:tcPr>
          <w:p w14:paraId="376248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56C259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7B2F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Cykliczność określona czasowo i stanem licznika.</w:t>
            </w:r>
          </w:p>
        </w:tc>
        <w:tc>
          <w:tcPr>
            <w:tcW w:w="850" w:type="dxa"/>
            <w:tcBorders>
              <w:top w:val="nil"/>
              <w:left w:val="nil"/>
              <w:bottom w:val="single" w:sz="8" w:space="0" w:color="auto"/>
              <w:right w:val="single" w:sz="8" w:space="0" w:color="auto"/>
            </w:tcBorders>
            <w:shd w:val="clear" w:color="auto" w:fill="auto"/>
            <w:vAlign w:val="center"/>
            <w:hideMark/>
          </w:tcPr>
          <w:p w14:paraId="4BE89A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350C01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EC004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Aplikacja musi posiadać kalendarz zintegrowany ze wszystkimi modułami np. z kadrami, itp.</w:t>
            </w:r>
          </w:p>
        </w:tc>
        <w:tc>
          <w:tcPr>
            <w:tcW w:w="850" w:type="dxa"/>
            <w:tcBorders>
              <w:top w:val="nil"/>
              <w:left w:val="nil"/>
              <w:bottom w:val="single" w:sz="8" w:space="0" w:color="auto"/>
              <w:right w:val="single" w:sz="8" w:space="0" w:color="auto"/>
            </w:tcBorders>
            <w:shd w:val="clear" w:color="auto" w:fill="auto"/>
            <w:vAlign w:val="center"/>
            <w:hideMark/>
          </w:tcPr>
          <w:p w14:paraId="48D29F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51887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E542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Tworzenie i wybór różnych okresów czasowych np. codziennie, tygodniowo, miesięcznie, kwartalnie, półrocznie, rocznie, co 5 lat, przez pasek nawigacji z możliwością wyboru.</w:t>
            </w:r>
          </w:p>
        </w:tc>
        <w:tc>
          <w:tcPr>
            <w:tcW w:w="850" w:type="dxa"/>
            <w:tcBorders>
              <w:top w:val="nil"/>
              <w:left w:val="nil"/>
              <w:bottom w:val="single" w:sz="8" w:space="0" w:color="auto"/>
              <w:right w:val="single" w:sz="8" w:space="0" w:color="auto"/>
            </w:tcBorders>
            <w:shd w:val="clear" w:color="auto" w:fill="auto"/>
            <w:vAlign w:val="center"/>
            <w:hideMark/>
          </w:tcPr>
          <w:p w14:paraId="053487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AEE67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ED26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grupowania obiektów dla harmonogramu.</w:t>
            </w:r>
          </w:p>
        </w:tc>
        <w:tc>
          <w:tcPr>
            <w:tcW w:w="850" w:type="dxa"/>
            <w:tcBorders>
              <w:top w:val="nil"/>
              <w:left w:val="nil"/>
              <w:bottom w:val="single" w:sz="8" w:space="0" w:color="auto"/>
              <w:right w:val="single" w:sz="8" w:space="0" w:color="auto"/>
            </w:tcBorders>
            <w:shd w:val="clear" w:color="auto" w:fill="auto"/>
            <w:vAlign w:val="center"/>
            <w:hideMark/>
          </w:tcPr>
          <w:p w14:paraId="51F3A4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E84281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F839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indywidualnego ustawienia cykliczności prac dla obiektu.</w:t>
            </w:r>
          </w:p>
        </w:tc>
        <w:tc>
          <w:tcPr>
            <w:tcW w:w="850" w:type="dxa"/>
            <w:tcBorders>
              <w:top w:val="nil"/>
              <w:left w:val="nil"/>
              <w:bottom w:val="single" w:sz="8" w:space="0" w:color="auto"/>
              <w:right w:val="single" w:sz="8" w:space="0" w:color="auto"/>
            </w:tcBorders>
            <w:shd w:val="clear" w:color="auto" w:fill="auto"/>
            <w:vAlign w:val="center"/>
            <w:hideMark/>
          </w:tcPr>
          <w:p w14:paraId="2BBC36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6BCD23B"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03C9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Aplikacja musi pokazywać stan zaawansowania robót i być powiązana z brygadami, normami czasowymi i ilościowymi, czyli posiadać możliwość określenia granicy dolnej i górnej zakresu czasowego i licznika dla realizacji zadania wraz z wizualizacją zrealizowanych i niezrealizowanych prac w postaci wykresu lub/i mapy.</w:t>
            </w:r>
          </w:p>
        </w:tc>
        <w:tc>
          <w:tcPr>
            <w:tcW w:w="850" w:type="dxa"/>
            <w:tcBorders>
              <w:top w:val="nil"/>
              <w:left w:val="nil"/>
              <w:bottom w:val="single" w:sz="8" w:space="0" w:color="auto"/>
              <w:right w:val="single" w:sz="8" w:space="0" w:color="auto"/>
            </w:tcBorders>
            <w:shd w:val="clear" w:color="auto" w:fill="auto"/>
            <w:vAlign w:val="center"/>
            <w:hideMark/>
          </w:tcPr>
          <w:p w14:paraId="2F4DCCF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2ADB0F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DA0B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umożliwiać dowolny wybór terminu w celu powiadamiania o zbliżającym się przeglądzie i/lub remoncie stworzenia zlecenia, przekierowania do koszyka zleceń.</w:t>
            </w:r>
          </w:p>
        </w:tc>
        <w:tc>
          <w:tcPr>
            <w:tcW w:w="850" w:type="dxa"/>
            <w:tcBorders>
              <w:top w:val="nil"/>
              <w:left w:val="nil"/>
              <w:bottom w:val="single" w:sz="8" w:space="0" w:color="auto"/>
              <w:right w:val="single" w:sz="8" w:space="0" w:color="auto"/>
            </w:tcBorders>
            <w:shd w:val="clear" w:color="auto" w:fill="auto"/>
            <w:vAlign w:val="center"/>
            <w:hideMark/>
          </w:tcPr>
          <w:p w14:paraId="5BFC21E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5FB62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6C20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Aplikacja musi posiadać funkcję powiadamiania o zbliżającym się terminie prac z harmonogramu (np. sms, e-mail, powiadomienie w module eksploatacja typu PUSH).</w:t>
            </w:r>
          </w:p>
        </w:tc>
        <w:tc>
          <w:tcPr>
            <w:tcW w:w="850" w:type="dxa"/>
            <w:tcBorders>
              <w:top w:val="nil"/>
              <w:left w:val="nil"/>
              <w:bottom w:val="single" w:sz="8" w:space="0" w:color="auto"/>
              <w:right w:val="single" w:sz="8" w:space="0" w:color="auto"/>
            </w:tcBorders>
            <w:shd w:val="clear" w:color="auto" w:fill="auto"/>
            <w:vAlign w:val="center"/>
            <w:hideMark/>
          </w:tcPr>
          <w:p w14:paraId="2B1B037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8D83A1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DBE78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sporządzania raportu z realizacji harmonogramu.</w:t>
            </w:r>
          </w:p>
        </w:tc>
        <w:tc>
          <w:tcPr>
            <w:tcW w:w="850" w:type="dxa"/>
            <w:tcBorders>
              <w:top w:val="nil"/>
              <w:left w:val="nil"/>
              <w:bottom w:val="single" w:sz="8" w:space="0" w:color="auto"/>
              <w:right w:val="single" w:sz="8" w:space="0" w:color="auto"/>
            </w:tcBorders>
            <w:shd w:val="clear" w:color="auto" w:fill="auto"/>
            <w:vAlign w:val="center"/>
            <w:hideMark/>
          </w:tcPr>
          <w:p w14:paraId="6F4E45C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AD795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3A3B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Tworzenie planu na podstawie koszyka zleceń i posiadanych zasobów odpowiednio pogrupowanych, np. ludzkich (brygadzista mistrz, operator, monter, itp.), transportu, sprzętu i materiału.</w:t>
            </w:r>
          </w:p>
        </w:tc>
        <w:tc>
          <w:tcPr>
            <w:tcW w:w="850" w:type="dxa"/>
            <w:tcBorders>
              <w:top w:val="nil"/>
              <w:left w:val="nil"/>
              <w:bottom w:val="single" w:sz="8" w:space="0" w:color="auto"/>
              <w:right w:val="single" w:sz="8" w:space="0" w:color="auto"/>
            </w:tcBorders>
            <w:shd w:val="clear" w:color="auto" w:fill="auto"/>
            <w:vAlign w:val="center"/>
            <w:hideMark/>
          </w:tcPr>
          <w:p w14:paraId="7704F8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1ACEF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15F93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Moduł powinien posiadać możliwość tworzenia ręcznie i automatycznie zleceń krótkoterminowych. Tworzenia zleceń krótkoterminowych tworzone na podstawie wykonywanych przeglądów i czynnościach na obiektach.</w:t>
            </w:r>
          </w:p>
        </w:tc>
        <w:tc>
          <w:tcPr>
            <w:tcW w:w="850" w:type="dxa"/>
            <w:tcBorders>
              <w:top w:val="nil"/>
              <w:left w:val="nil"/>
              <w:bottom w:val="single" w:sz="8" w:space="0" w:color="auto"/>
              <w:right w:val="single" w:sz="8" w:space="0" w:color="auto"/>
            </w:tcBorders>
            <w:shd w:val="clear" w:color="auto" w:fill="auto"/>
            <w:vAlign w:val="center"/>
            <w:hideMark/>
          </w:tcPr>
          <w:p w14:paraId="0C06AC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A10FB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83F3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14. Aplikacja musi wspomagać tworzenie planu zakupów, zapotrzebowania na materiał oraz sprzęt na podstawie planu przeglądów i remontów wraz z weryfikacją stanów magazynowych i dostępności sprzętu. </w:t>
            </w:r>
          </w:p>
        </w:tc>
        <w:tc>
          <w:tcPr>
            <w:tcW w:w="850" w:type="dxa"/>
            <w:tcBorders>
              <w:top w:val="nil"/>
              <w:left w:val="nil"/>
              <w:bottom w:val="single" w:sz="8" w:space="0" w:color="auto"/>
              <w:right w:val="single" w:sz="8" w:space="0" w:color="auto"/>
            </w:tcBorders>
            <w:shd w:val="clear" w:color="auto" w:fill="auto"/>
            <w:vAlign w:val="center"/>
            <w:hideMark/>
          </w:tcPr>
          <w:p w14:paraId="1319320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364BB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E4726F"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Raporty, protokoły i dokumenty</w:t>
            </w:r>
          </w:p>
        </w:tc>
        <w:tc>
          <w:tcPr>
            <w:tcW w:w="850" w:type="dxa"/>
            <w:tcBorders>
              <w:top w:val="nil"/>
              <w:left w:val="nil"/>
              <w:bottom w:val="single" w:sz="8" w:space="0" w:color="auto"/>
              <w:right w:val="single" w:sz="8" w:space="0" w:color="auto"/>
            </w:tcBorders>
            <w:shd w:val="clear" w:color="000000" w:fill="A6A6A6"/>
            <w:vAlign w:val="center"/>
            <w:hideMark/>
          </w:tcPr>
          <w:p w14:paraId="08070AC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80C808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028A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Aplikacja musi umożliwiać automatyczne tworzenie i modyfikację przez użytkownika dowolnych raportów, protokołów i dokumentów (np. kosztorys itp.) powiązanych ze zbieranymi danymi zawartymi w rejestrach, w dowolnej postaci dokumentu, tabeli, wykresów, map.</w:t>
            </w:r>
          </w:p>
        </w:tc>
        <w:tc>
          <w:tcPr>
            <w:tcW w:w="850" w:type="dxa"/>
            <w:tcBorders>
              <w:top w:val="nil"/>
              <w:left w:val="nil"/>
              <w:bottom w:val="single" w:sz="8" w:space="0" w:color="auto"/>
              <w:right w:val="single" w:sz="8" w:space="0" w:color="auto"/>
            </w:tcBorders>
            <w:shd w:val="clear" w:color="auto" w:fill="auto"/>
            <w:vAlign w:val="center"/>
            <w:hideMark/>
          </w:tcPr>
          <w:p w14:paraId="5B83BD9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C5A4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AA8F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Aplikacja musi posiadać możliwość stworzenia raportów i protokołów w formie papierowej i elektronicznej:</w:t>
            </w:r>
          </w:p>
        </w:tc>
        <w:tc>
          <w:tcPr>
            <w:tcW w:w="850" w:type="dxa"/>
            <w:tcBorders>
              <w:top w:val="nil"/>
              <w:left w:val="nil"/>
              <w:bottom w:val="single" w:sz="8" w:space="0" w:color="auto"/>
              <w:right w:val="single" w:sz="8" w:space="0" w:color="auto"/>
            </w:tcBorders>
            <w:shd w:val="clear" w:color="000000" w:fill="A6A6A6"/>
            <w:vAlign w:val="center"/>
            <w:hideMark/>
          </w:tcPr>
          <w:p w14:paraId="243D17C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F0B543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42BF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Aplikacja musi umożliwić tworzenie szablonów raportów, protokołów i dokumentów z przykładowymi danymi,</w:t>
            </w:r>
          </w:p>
        </w:tc>
        <w:tc>
          <w:tcPr>
            <w:tcW w:w="850" w:type="dxa"/>
            <w:tcBorders>
              <w:top w:val="nil"/>
              <w:left w:val="nil"/>
              <w:bottom w:val="single" w:sz="8" w:space="0" w:color="auto"/>
              <w:right w:val="single" w:sz="8" w:space="0" w:color="auto"/>
            </w:tcBorders>
            <w:shd w:val="clear" w:color="auto" w:fill="auto"/>
            <w:vAlign w:val="center"/>
            <w:hideMark/>
          </w:tcPr>
          <w:p w14:paraId="56B37E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5DECF2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AAD6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Logo i dane spółki,</w:t>
            </w:r>
          </w:p>
        </w:tc>
        <w:tc>
          <w:tcPr>
            <w:tcW w:w="850" w:type="dxa"/>
            <w:tcBorders>
              <w:top w:val="nil"/>
              <w:left w:val="nil"/>
              <w:bottom w:val="single" w:sz="8" w:space="0" w:color="auto"/>
              <w:right w:val="single" w:sz="8" w:space="0" w:color="auto"/>
            </w:tcBorders>
            <w:shd w:val="clear" w:color="auto" w:fill="auto"/>
            <w:vAlign w:val="center"/>
            <w:hideMark/>
          </w:tcPr>
          <w:p w14:paraId="24F353B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13F124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BDA57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Datę wystawienia protokołu z przeglądu oraz datę rozpoczęcia i zakończenia przeglądu,</w:t>
            </w:r>
          </w:p>
        </w:tc>
        <w:tc>
          <w:tcPr>
            <w:tcW w:w="850" w:type="dxa"/>
            <w:tcBorders>
              <w:top w:val="nil"/>
              <w:left w:val="nil"/>
              <w:bottom w:val="single" w:sz="8" w:space="0" w:color="auto"/>
              <w:right w:val="single" w:sz="8" w:space="0" w:color="auto"/>
            </w:tcBorders>
            <w:shd w:val="clear" w:color="auto" w:fill="auto"/>
            <w:vAlign w:val="center"/>
            <w:hideMark/>
          </w:tcPr>
          <w:p w14:paraId="5981BD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18D6F9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AE586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Nazwę protokołu (np. Protokół odbioru częściowego) – otwarta lista i z wyboru,</w:t>
            </w:r>
          </w:p>
        </w:tc>
        <w:tc>
          <w:tcPr>
            <w:tcW w:w="850" w:type="dxa"/>
            <w:tcBorders>
              <w:top w:val="nil"/>
              <w:left w:val="nil"/>
              <w:bottom w:val="single" w:sz="8" w:space="0" w:color="auto"/>
              <w:right w:val="single" w:sz="8" w:space="0" w:color="auto"/>
            </w:tcBorders>
            <w:shd w:val="clear" w:color="auto" w:fill="auto"/>
            <w:vAlign w:val="center"/>
            <w:hideMark/>
          </w:tcPr>
          <w:p w14:paraId="7A837E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BD3C67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FF31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Nazwa zadania,</w:t>
            </w:r>
          </w:p>
        </w:tc>
        <w:tc>
          <w:tcPr>
            <w:tcW w:w="850" w:type="dxa"/>
            <w:tcBorders>
              <w:top w:val="nil"/>
              <w:left w:val="nil"/>
              <w:bottom w:val="single" w:sz="8" w:space="0" w:color="auto"/>
              <w:right w:val="single" w:sz="8" w:space="0" w:color="auto"/>
            </w:tcBorders>
            <w:shd w:val="clear" w:color="auto" w:fill="auto"/>
            <w:vAlign w:val="center"/>
            <w:hideMark/>
          </w:tcPr>
          <w:p w14:paraId="5E0F4B9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0C62E8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705D5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Nazwę inwestora,</w:t>
            </w:r>
          </w:p>
        </w:tc>
        <w:tc>
          <w:tcPr>
            <w:tcW w:w="850" w:type="dxa"/>
            <w:tcBorders>
              <w:top w:val="nil"/>
              <w:left w:val="nil"/>
              <w:bottom w:val="single" w:sz="8" w:space="0" w:color="auto"/>
              <w:right w:val="single" w:sz="8" w:space="0" w:color="auto"/>
            </w:tcBorders>
            <w:shd w:val="clear" w:color="auto" w:fill="auto"/>
            <w:vAlign w:val="center"/>
            <w:hideMark/>
          </w:tcPr>
          <w:p w14:paraId="2FBA15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7A264E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F48BC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Nazwę wykonawcy,</w:t>
            </w:r>
          </w:p>
        </w:tc>
        <w:tc>
          <w:tcPr>
            <w:tcW w:w="850" w:type="dxa"/>
            <w:tcBorders>
              <w:top w:val="nil"/>
              <w:left w:val="nil"/>
              <w:bottom w:val="single" w:sz="8" w:space="0" w:color="auto"/>
              <w:right w:val="single" w:sz="8" w:space="0" w:color="auto"/>
            </w:tcBorders>
            <w:shd w:val="clear" w:color="auto" w:fill="auto"/>
            <w:vAlign w:val="center"/>
            <w:hideMark/>
          </w:tcPr>
          <w:p w14:paraId="49A204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CDD796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052BE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Jednostkę organizacyjną spółki,</w:t>
            </w:r>
          </w:p>
        </w:tc>
        <w:tc>
          <w:tcPr>
            <w:tcW w:w="850" w:type="dxa"/>
            <w:tcBorders>
              <w:top w:val="nil"/>
              <w:left w:val="nil"/>
              <w:bottom w:val="single" w:sz="8" w:space="0" w:color="auto"/>
              <w:right w:val="single" w:sz="8" w:space="0" w:color="auto"/>
            </w:tcBorders>
            <w:shd w:val="clear" w:color="auto" w:fill="auto"/>
            <w:vAlign w:val="center"/>
            <w:hideMark/>
          </w:tcPr>
          <w:p w14:paraId="4D7357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42C982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8785E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2.9. Zestawienie obiektów w formie tabelarycznej, których dotyczy przegląd wraz z określonymi parametrami,</w:t>
            </w:r>
          </w:p>
        </w:tc>
        <w:tc>
          <w:tcPr>
            <w:tcW w:w="850" w:type="dxa"/>
            <w:tcBorders>
              <w:top w:val="nil"/>
              <w:left w:val="nil"/>
              <w:bottom w:val="single" w:sz="8" w:space="0" w:color="auto"/>
              <w:right w:val="single" w:sz="8" w:space="0" w:color="auto"/>
            </w:tcBorders>
            <w:shd w:val="clear" w:color="auto" w:fill="auto"/>
            <w:vAlign w:val="center"/>
            <w:hideMark/>
          </w:tcPr>
          <w:p w14:paraId="652840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06EAA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D684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2.10. Miejsce na wpisanie uwag. Możliwość wpisania uwag z poziomu urządzenia mobilnego, komputera stacjonarnego i ręcznie,</w:t>
            </w:r>
          </w:p>
        </w:tc>
        <w:tc>
          <w:tcPr>
            <w:tcW w:w="850" w:type="dxa"/>
            <w:tcBorders>
              <w:top w:val="nil"/>
              <w:left w:val="nil"/>
              <w:bottom w:val="single" w:sz="8" w:space="0" w:color="auto"/>
              <w:right w:val="single" w:sz="8" w:space="0" w:color="auto"/>
            </w:tcBorders>
            <w:shd w:val="clear" w:color="auto" w:fill="auto"/>
            <w:vAlign w:val="center"/>
            <w:hideMark/>
          </w:tcPr>
          <w:p w14:paraId="39AEF55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47CC2A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65505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2.11. Miejsce na podpis przedstawiciela MWiK, Inwestora,</w:t>
            </w:r>
          </w:p>
        </w:tc>
        <w:tc>
          <w:tcPr>
            <w:tcW w:w="850" w:type="dxa"/>
            <w:tcBorders>
              <w:top w:val="nil"/>
              <w:left w:val="nil"/>
              <w:bottom w:val="single" w:sz="8" w:space="0" w:color="auto"/>
              <w:right w:val="single" w:sz="8" w:space="0" w:color="auto"/>
            </w:tcBorders>
            <w:shd w:val="clear" w:color="auto" w:fill="auto"/>
            <w:vAlign w:val="center"/>
            <w:hideMark/>
          </w:tcPr>
          <w:p w14:paraId="25C8694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10443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44816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2.12. Wstawianie załączników,</w:t>
            </w:r>
          </w:p>
        </w:tc>
        <w:tc>
          <w:tcPr>
            <w:tcW w:w="850" w:type="dxa"/>
            <w:tcBorders>
              <w:top w:val="nil"/>
              <w:left w:val="nil"/>
              <w:bottom w:val="single" w:sz="8" w:space="0" w:color="auto"/>
              <w:right w:val="single" w:sz="8" w:space="0" w:color="auto"/>
            </w:tcBorders>
            <w:shd w:val="clear" w:color="auto" w:fill="auto"/>
            <w:vAlign w:val="center"/>
            <w:hideMark/>
          </w:tcPr>
          <w:p w14:paraId="0C24DB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CBBBB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15295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2.13. Możliwość dołączenia zdjęć przypisanych do danego obiektu,</w:t>
            </w:r>
          </w:p>
        </w:tc>
        <w:tc>
          <w:tcPr>
            <w:tcW w:w="850" w:type="dxa"/>
            <w:tcBorders>
              <w:top w:val="nil"/>
              <w:left w:val="nil"/>
              <w:bottom w:val="single" w:sz="8" w:space="0" w:color="auto"/>
              <w:right w:val="single" w:sz="8" w:space="0" w:color="auto"/>
            </w:tcBorders>
            <w:shd w:val="clear" w:color="auto" w:fill="auto"/>
            <w:vAlign w:val="center"/>
            <w:hideMark/>
          </w:tcPr>
          <w:p w14:paraId="6AE121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20D2D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EE58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2.14. Zdjęcia automatycznie przypisywane do zakresu wykonanego przeglądu,</w:t>
            </w:r>
          </w:p>
        </w:tc>
        <w:tc>
          <w:tcPr>
            <w:tcW w:w="850" w:type="dxa"/>
            <w:tcBorders>
              <w:top w:val="nil"/>
              <w:left w:val="nil"/>
              <w:bottom w:val="single" w:sz="8" w:space="0" w:color="auto"/>
              <w:right w:val="single" w:sz="8" w:space="0" w:color="auto"/>
            </w:tcBorders>
            <w:shd w:val="clear" w:color="auto" w:fill="auto"/>
            <w:vAlign w:val="center"/>
            <w:hideMark/>
          </w:tcPr>
          <w:p w14:paraId="0DD6E5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0245A4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466B1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2.15. Automatyczne generowanie map dla danego zakresu z </w:t>
            </w:r>
            <w:proofErr w:type="spellStart"/>
            <w:r w:rsidRPr="00B97E7A">
              <w:rPr>
                <w:rFonts w:ascii="Times New Roman" w:eastAsia="Times New Roman" w:hAnsi="Times New Roman" w:cs="Times New Roman"/>
                <w:kern w:val="0"/>
                <w:sz w:val="28"/>
                <w:szCs w:val="28"/>
                <w:lang w:eastAsia="pl-PL"/>
                <w14:ligatures w14:val="none"/>
              </w:rPr>
              <w:t>autodopasowaniem</w:t>
            </w:r>
            <w:proofErr w:type="spellEnd"/>
            <w:r w:rsidRPr="00B97E7A">
              <w:rPr>
                <w:rFonts w:ascii="Times New Roman" w:eastAsia="Times New Roman" w:hAnsi="Times New Roman" w:cs="Times New Roman"/>
                <w:kern w:val="0"/>
                <w:sz w:val="28"/>
                <w:szCs w:val="28"/>
                <w:lang w:eastAsia="pl-PL"/>
                <w14:ligatures w14:val="none"/>
              </w:rPr>
              <w:t xml:space="preserve"> do wybranego formatu papieru, z możliwością wyboru dowolnej skali.</w:t>
            </w:r>
          </w:p>
        </w:tc>
        <w:tc>
          <w:tcPr>
            <w:tcW w:w="850" w:type="dxa"/>
            <w:tcBorders>
              <w:top w:val="nil"/>
              <w:left w:val="nil"/>
              <w:bottom w:val="single" w:sz="8" w:space="0" w:color="auto"/>
              <w:right w:val="single" w:sz="8" w:space="0" w:color="auto"/>
            </w:tcBorders>
            <w:shd w:val="clear" w:color="auto" w:fill="auto"/>
            <w:vAlign w:val="center"/>
            <w:hideMark/>
          </w:tcPr>
          <w:p w14:paraId="1E87F0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483F2B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A7C5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Aplikacja musi posiadać możliwość tworzenia raportów, protokołów i dokumentów w formie papierowej i elektronicznej oraz bezpośredniego przesyłania, np. pocztą elektroniczną.</w:t>
            </w:r>
          </w:p>
        </w:tc>
        <w:tc>
          <w:tcPr>
            <w:tcW w:w="850" w:type="dxa"/>
            <w:tcBorders>
              <w:top w:val="nil"/>
              <w:left w:val="nil"/>
              <w:bottom w:val="single" w:sz="8" w:space="0" w:color="auto"/>
              <w:right w:val="single" w:sz="8" w:space="0" w:color="auto"/>
            </w:tcBorders>
            <w:shd w:val="clear" w:color="auto" w:fill="auto"/>
            <w:vAlign w:val="center"/>
            <w:hideMark/>
          </w:tcPr>
          <w:p w14:paraId="583DC3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A056E5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03C91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Aplikacja musi umożliwiać wizualizację kosztów dla każdego rodzaju zlecenia.</w:t>
            </w:r>
          </w:p>
        </w:tc>
        <w:tc>
          <w:tcPr>
            <w:tcW w:w="850" w:type="dxa"/>
            <w:tcBorders>
              <w:top w:val="nil"/>
              <w:left w:val="nil"/>
              <w:bottom w:val="single" w:sz="8" w:space="0" w:color="auto"/>
              <w:right w:val="single" w:sz="8" w:space="0" w:color="auto"/>
            </w:tcBorders>
            <w:shd w:val="clear" w:color="auto" w:fill="auto"/>
            <w:vAlign w:val="center"/>
            <w:hideMark/>
          </w:tcPr>
          <w:p w14:paraId="5D46A3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909AF0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660A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Aplikacja musi umożliwić tworzenia raportów stałych dla danych obiektów w danym czasie.</w:t>
            </w:r>
          </w:p>
        </w:tc>
        <w:tc>
          <w:tcPr>
            <w:tcW w:w="850" w:type="dxa"/>
            <w:tcBorders>
              <w:top w:val="nil"/>
              <w:left w:val="nil"/>
              <w:bottom w:val="single" w:sz="8" w:space="0" w:color="auto"/>
              <w:right w:val="single" w:sz="8" w:space="0" w:color="auto"/>
            </w:tcBorders>
            <w:shd w:val="clear" w:color="auto" w:fill="auto"/>
            <w:vAlign w:val="center"/>
            <w:hideMark/>
          </w:tcPr>
          <w:p w14:paraId="0EB321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2DE7D22"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8C451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analizy kosztów z podziałem na grupy pracowników oraz analizowania rzeczowo-finansowego eksploatacji, awarii i zleceń pomocniczych z uwzględnieniem np. normy czasowej i kosztowej pracy, rzeczywistego czasu i kosztu pracy, odchyleń czasowych i kosztowych, wskaźnika wydajności pracy, wskaźnika wydajności kosztów opracowanego wg standardów kosztorysowania.</w:t>
            </w:r>
          </w:p>
        </w:tc>
        <w:tc>
          <w:tcPr>
            <w:tcW w:w="850" w:type="dxa"/>
            <w:tcBorders>
              <w:top w:val="nil"/>
              <w:left w:val="nil"/>
              <w:bottom w:val="single" w:sz="8" w:space="0" w:color="auto"/>
              <w:right w:val="single" w:sz="8" w:space="0" w:color="auto"/>
            </w:tcBorders>
            <w:shd w:val="clear" w:color="auto" w:fill="auto"/>
            <w:vAlign w:val="center"/>
            <w:hideMark/>
          </w:tcPr>
          <w:p w14:paraId="474310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B5B9FC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737C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Zapewnienie możliwości rozliczenia i analizy poniesionych nakładów rzeczowo-finansowych dla eksploatacji i zleceń.</w:t>
            </w:r>
          </w:p>
        </w:tc>
        <w:tc>
          <w:tcPr>
            <w:tcW w:w="850" w:type="dxa"/>
            <w:tcBorders>
              <w:top w:val="nil"/>
              <w:left w:val="nil"/>
              <w:bottom w:val="single" w:sz="8" w:space="0" w:color="auto"/>
              <w:right w:val="single" w:sz="8" w:space="0" w:color="auto"/>
            </w:tcBorders>
            <w:shd w:val="clear" w:color="auto" w:fill="auto"/>
            <w:vAlign w:val="center"/>
            <w:hideMark/>
          </w:tcPr>
          <w:p w14:paraId="558E9E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D6EAE9"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0D6A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8. Aplikacja musi umożliwiać raportowanie godziny wyjazdu i zjazdu z/do bazy, ilość powrotów na bazę, ilość </w:t>
            </w:r>
            <w:proofErr w:type="spellStart"/>
            <w:r w:rsidRPr="00B97E7A">
              <w:rPr>
                <w:rFonts w:ascii="Times New Roman" w:eastAsia="Times New Roman" w:hAnsi="Times New Roman" w:cs="Times New Roman"/>
                <w:kern w:val="0"/>
                <w:sz w:val="28"/>
                <w:szCs w:val="28"/>
                <w:lang w:eastAsia="pl-PL"/>
                <w14:ligatures w14:val="none"/>
              </w:rPr>
              <w:t>mtg</w:t>
            </w:r>
            <w:proofErr w:type="spellEnd"/>
            <w:r w:rsidRPr="00B97E7A">
              <w:rPr>
                <w:rFonts w:ascii="Times New Roman" w:eastAsia="Times New Roman" w:hAnsi="Times New Roman" w:cs="Times New Roman"/>
                <w:kern w:val="0"/>
                <w:sz w:val="28"/>
                <w:szCs w:val="28"/>
                <w:lang w:eastAsia="pl-PL"/>
                <w14:ligatures w14:val="none"/>
              </w:rPr>
              <w:t xml:space="preserve"> lub/i przejechanych kilometrów/, zużycie paliwa dla dowolnego pojazdów i sprzętu z możliwością zestawienia danych z kierowcą, operatorem, brygadą. </w:t>
            </w:r>
          </w:p>
        </w:tc>
        <w:tc>
          <w:tcPr>
            <w:tcW w:w="850" w:type="dxa"/>
            <w:tcBorders>
              <w:top w:val="nil"/>
              <w:left w:val="nil"/>
              <w:bottom w:val="single" w:sz="8" w:space="0" w:color="auto"/>
              <w:right w:val="single" w:sz="8" w:space="0" w:color="auto"/>
            </w:tcBorders>
            <w:shd w:val="clear" w:color="auto" w:fill="auto"/>
            <w:vAlign w:val="center"/>
            <w:hideMark/>
          </w:tcPr>
          <w:p w14:paraId="4EC684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C59A6E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FECB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posiadać możliwość automatycznego generowania wraz z możliwością powiadomienia określonych użytkowników.</w:t>
            </w:r>
          </w:p>
        </w:tc>
        <w:tc>
          <w:tcPr>
            <w:tcW w:w="850" w:type="dxa"/>
            <w:tcBorders>
              <w:top w:val="nil"/>
              <w:left w:val="nil"/>
              <w:bottom w:val="single" w:sz="8" w:space="0" w:color="auto"/>
              <w:right w:val="single" w:sz="8" w:space="0" w:color="auto"/>
            </w:tcBorders>
            <w:shd w:val="clear" w:color="auto" w:fill="auto"/>
            <w:vAlign w:val="center"/>
            <w:hideMark/>
          </w:tcPr>
          <w:p w14:paraId="2CD1EC0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D08488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64F99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G. Rejestrowanie</w:t>
            </w:r>
          </w:p>
        </w:tc>
        <w:tc>
          <w:tcPr>
            <w:tcW w:w="850" w:type="dxa"/>
            <w:tcBorders>
              <w:top w:val="nil"/>
              <w:left w:val="nil"/>
              <w:bottom w:val="single" w:sz="8" w:space="0" w:color="auto"/>
              <w:right w:val="single" w:sz="8" w:space="0" w:color="auto"/>
            </w:tcBorders>
            <w:shd w:val="clear" w:color="000000" w:fill="A6A6A6"/>
            <w:vAlign w:val="center"/>
            <w:hideMark/>
          </w:tcPr>
          <w:p w14:paraId="4AC89B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A2A5CD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D374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Rejestrowanie pracy brygad w powiązaniu z kartami pracy.</w:t>
            </w:r>
          </w:p>
        </w:tc>
        <w:tc>
          <w:tcPr>
            <w:tcW w:w="850" w:type="dxa"/>
            <w:tcBorders>
              <w:top w:val="nil"/>
              <w:left w:val="nil"/>
              <w:bottom w:val="single" w:sz="8" w:space="0" w:color="auto"/>
              <w:right w:val="single" w:sz="8" w:space="0" w:color="auto"/>
            </w:tcBorders>
            <w:shd w:val="clear" w:color="auto" w:fill="auto"/>
            <w:vAlign w:val="center"/>
            <w:hideMark/>
          </w:tcPr>
          <w:p w14:paraId="7830FB6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062D34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39633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Umożliwienie wprowadzania danych z terenu z urządzeń mobilnych (tablet) jednocześnie przez wielu użytkowników.</w:t>
            </w:r>
          </w:p>
        </w:tc>
        <w:tc>
          <w:tcPr>
            <w:tcW w:w="850" w:type="dxa"/>
            <w:tcBorders>
              <w:top w:val="nil"/>
              <w:left w:val="nil"/>
              <w:bottom w:val="single" w:sz="8" w:space="0" w:color="auto"/>
              <w:right w:val="single" w:sz="8" w:space="0" w:color="auto"/>
            </w:tcBorders>
            <w:shd w:val="clear" w:color="auto" w:fill="auto"/>
            <w:vAlign w:val="center"/>
            <w:hideMark/>
          </w:tcPr>
          <w:p w14:paraId="32A072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EFA03D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516D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Każdy ewidencjonowany obiekt musi posiadać możliwość oznaczania wykonanej czynności w czasie rzeczywistym przez brygady pracujące w terenie.</w:t>
            </w:r>
          </w:p>
        </w:tc>
        <w:tc>
          <w:tcPr>
            <w:tcW w:w="850" w:type="dxa"/>
            <w:tcBorders>
              <w:top w:val="nil"/>
              <w:left w:val="nil"/>
              <w:bottom w:val="single" w:sz="8" w:space="0" w:color="auto"/>
              <w:right w:val="single" w:sz="8" w:space="0" w:color="auto"/>
            </w:tcBorders>
            <w:shd w:val="clear" w:color="auto" w:fill="auto"/>
            <w:vAlign w:val="center"/>
            <w:hideMark/>
          </w:tcPr>
          <w:p w14:paraId="20EDD4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AF472D"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71AD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Rejestrowane dane muszą być połączone z innymi modułami, np. kalendarz, skład brygady połączony z modułem kadrowym, zużycie materiałów z modułem magazynowym, przypisany pojazd z modułem transportowym i w konsekwencji z modułem FK.</w:t>
            </w:r>
          </w:p>
        </w:tc>
        <w:tc>
          <w:tcPr>
            <w:tcW w:w="850" w:type="dxa"/>
            <w:tcBorders>
              <w:top w:val="nil"/>
              <w:left w:val="nil"/>
              <w:bottom w:val="single" w:sz="8" w:space="0" w:color="auto"/>
              <w:right w:val="single" w:sz="8" w:space="0" w:color="auto"/>
            </w:tcBorders>
            <w:shd w:val="clear" w:color="auto" w:fill="auto"/>
            <w:vAlign w:val="center"/>
            <w:hideMark/>
          </w:tcPr>
          <w:p w14:paraId="7C1592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0E49C79"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4A79F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Rejestrowanie danych ilościowych i jakościowych w określonym czasie z możliwością wprowadzenia ręcznie lub przez importowanie z innych systemów w MWiK, np. ilość ścieków oczyszczonych na godzinę, dobę, tydzień, ilość wyprodukowanej wody, itp.</w:t>
            </w:r>
          </w:p>
        </w:tc>
        <w:tc>
          <w:tcPr>
            <w:tcW w:w="850" w:type="dxa"/>
            <w:tcBorders>
              <w:top w:val="nil"/>
              <w:left w:val="nil"/>
              <w:bottom w:val="single" w:sz="8" w:space="0" w:color="auto"/>
              <w:right w:val="single" w:sz="8" w:space="0" w:color="auto"/>
            </w:tcBorders>
            <w:shd w:val="clear" w:color="auto" w:fill="auto"/>
            <w:vAlign w:val="center"/>
            <w:hideMark/>
          </w:tcPr>
          <w:p w14:paraId="3935D2C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B91C6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53A8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przekazywania działań do modułu zarządzania zleceniami pomocniczymi i remontami.</w:t>
            </w:r>
          </w:p>
        </w:tc>
        <w:tc>
          <w:tcPr>
            <w:tcW w:w="850" w:type="dxa"/>
            <w:tcBorders>
              <w:top w:val="nil"/>
              <w:left w:val="nil"/>
              <w:bottom w:val="single" w:sz="8" w:space="0" w:color="auto"/>
              <w:right w:val="single" w:sz="8" w:space="0" w:color="auto"/>
            </w:tcBorders>
            <w:shd w:val="clear" w:color="auto" w:fill="auto"/>
            <w:vAlign w:val="center"/>
            <w:hideMark/>
          </w:tcPr>
          <w:p w14:paraId="4D842C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9AE089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8395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Aplikacja musi umożliwiać tworzenie i obliczanie wskaźników, np. awaryjności dla obiektu, rodzaju sieci/obiektu, dzielnicy/strefy DMA/zlewni, jednostki organizacyjnej.</w:t>
            </w:r>
          </w:p>
        </w:tc>
        <w:tc>
          <w:tcPr>
            <w:tcW w:w="850" w:type="dxa"/>
            <w:tcBorders>
              <w:top w:val="nil"/>
              <w:left w:val="nil"/>
              <w:bottom w:val="single" w:sz="8" w:space="0" w:color="auto"/>
              <w:right w:val="single" w:sz="8" w:space="0" w:color="auto"/>
            </w:tcBorders>
            <w:shd w:val="clear" w:color="auto" w:fill="auto"/>
            <w:vAlign w:val="center"/>
            <w:hideMark/>
          </w:tcPr>
          <w:p w14:paraId="3D0FFE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331831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8D2D3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określania i edytowania progów dolnych i górnych dla wskaźników.</w:t>
            </w:r>
          </w:p>
        </w:tc>
        <w:tc>
          <w:tcPr>
            <w:tcW w:w="850" w:type="dxa"/>
            <w:tcBorders>
              <w:top w:val="nil"/>
              <w:left w:val="nil"/>
              <w:bottom w:val="single" w:sz="8" w:space="0" w:color="auto"/>
              <w:right w:val="single" w:sz="8" w:space="0" w:color="auto"/>
            </w:tcBorders>
            <w:shd w:val="clear" w:color="auto" w:fill="auto"/>
            <w:vAlign w:val="center"/>
            <w:hideMark/>
          </w:tcPr>
          <w:p w14:paraId="070CDA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2867C0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7F0D2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H. Moduł transportowy - Elektroniczna karta drogowa</w:t>
            </w:r>
          </w:p>
        </w:tc>
        <w:tc>
          <w:tcPr>
            <w:tcW w:w="850" w:type="dxa"/>
            <w:tcBorders>
              <w:top w:val="nil"/>
              <w:left w:val="nil"/>
              <w:bottom w:val="single" w:sz="8" w:space="0" w:color="auto"/>
              <w:right w:val="single" w:sz="8" w:space="0" w:color="auto"/>
            </w:tcBorders>
            <w:shd w:val="clear" w:color="000000" w:fill="A6A6A6"/>
            <w:vAlign w:val="center"/>
            <w:hideMark/>
          </w:tcPr>
          <w:p w14:paraId="3E287E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EF3FE6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51ECD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Aplikacja musi automatycznie tworzyć kartę drogową w formacie pdf z możliwością wydruku.</w:t>
            </w:r>
          </w:p>
        </w:tc>
        <w:tc>
          <w:tcPr>
            <w:tcW w:w="850" w:type="dxa"/>
            <w:tcBorders>
              <w:top w:val="nil"/>
              <w:left w:val="nil"/>
              <w:bottom w:val="single" w:sz="8" w:space="0" w:color="auto"/>
              <w:right w:val="single" w:sz="8" w:space="0" w:color="auto"/>
            </w:tcBorders>
            <w:shd w:val="clear" w:color="auto" w:fill="auto"/>
            <w:vAlign w:val="center"/>
            <w:hideMark/>
          </w:tcPr>
          <w:p w14:paraId="1DF8DA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998562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72BD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Aplikacja musi być zintegrowana z innymi modułami.</w:t>
            </w:r>
          </w:p>
        </w:tc>
        <w:tc>
          <w:tcPr>
            <w:tcW w:w="850" w:type="dxa"/>
            <w:tcBorders>
              <w:top w:val="nil"/>
              <w:left w:val="nil"/>
              <w:bottom w:val="single" w:sz="8" w:space="0" w:color="auto"/>
              <w:right w:val="single" w:sz="8" w:space="0" w:color="auto"/>
            </w:tcBorders>
            <w:shd w:val="clear" w:color="auto" w:fill="auto"/>
            <w:vAlign w:val="center"/>
            <w:hideMark/>
          </w:tcPr>
          <w:p w14:paraId="49D273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BB97A5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2E6F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Aplikacja musi umożliwić przypisanie pojazdu do brygady (połączenie z modułem kadrowym).</w:t>
            </w:r>
          </w:p>
        </w:tc>
        <w:tc>
          <w:tcPr>
            <w:tcW w:w="850" w:type="dxa"/>
            <w:tcBorders>
              <w:top w:val="nil"/>
              <w:left w:val="nil"/>
              <w:bottom w:val="single" w:sz="8" w:space="0" w:color="auto"/>
              <w:right w:val="single" w:sz="8" w:space="0" w:color="auto"/>
            </w:tcBorders>
            <w:shd w:val="clear" w:color="auto" w:fill="auto"/>
            <w:vAlign w:val="center"/>
            <w:hideMark/>
          </w:tcPr>
          <w:p w14:paraId="1479B2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361719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97B4C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Aplikacja musi automatycznie przypisywać ulice do miejsca docelowego, potwierdzone w aplikacji.</w:t>
            </w:r>
          </w:p>
        </w:tc>
        <w:tc>
          <w:tcPr>
            <w:tcW w:w="850" w:type="dxa"/>
            <w:tcBorders>
              <w:top w:val="nil"/>
              <w:left w:val="nil"/>
              <w:bottom w:val="single" w:sz="8" w:space="0" w:color="auto"/>
              <w:right w:val="single" w:sz="8" w:space="0" w:color="auto"/>
            </w:tcBorders>
            <w:shd w:val="clear" w:color="auto" w:fill="auto"/>
            <w:vAlign w:val="center"/>
            <w:hideMark/>
          </w:tcPr>
          <w:p w14:paraId="17FDEC5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9C2319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509F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Automatycznie przepisywanie stanu licznika i paliwa do nowej karty drogowej.</w:t>
            </w:r>
          </w:p>
        </w:tc>
        <w:tc>
          <w:tcPr>
            <w:tcW w:w="850" w:type="dxa"/>
            <w:tcBorders>
              <w:top w:val="nil"/>
              <w:left w:val="nil"/>
              <w:bottom w:val="single" w:sz="8" w:space="0" w:color="auto"/>
              <w:right w:val="single" w:sz="8" w:space="0" w:color="auto"/>
            </w:tcBorders>
            <w:shd w:val="clear" w:color="auto" w:fill="auto"/>
            <w:vAlign w:val="center"/>
            <w:hideMark/>
          </w:tcPr>
          <w:p w14:paraId="4BFD26B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A66ABA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F526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Aplikacja zintegrowana z modułem planu pracy brygady.</w:t>
            </w:r>
          </w:p>
        </w:tc>
        <w:tc>
          <w:tcPr>
            <w:tcW w:w="850" w:type="dxa"/>
            <w:tcBorders>
              <w:top w:val="nil"/>
              <w:left w:val="nil"/>
              <w:bottom w:val="single" w:sz="8" w:space="0" w:color="auto"/>
              <w:right w:val="single" w:sz="8" w:space="0" w:color="auto"/>
            </w:tcBorders>
            <w:shd w:val="clear" w:color="auto" w:fill="auto"/>
            <w:vAlign w:val="center"/>
            <w:hideMark/>
          </w:tcPr>
          <w:p w14:paraId="0CDE62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BB550D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D3291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7. Aplikacja musi pracować na urządzeniach przenośnych (system Android).</w:t>
            </w:r>
          </w:p>
        </w:tc>
        <w:tc>
          <w:tcPr>
            <w:tcW w:w="850" w:type="dxa"/>
            <w:tcBorders>
              <w:top w:val="nil"/>
              <w:left w:val="nil"/>
              <w:bottom w:val="single" w:sz="8" w:space="0" w:color="auto"/>
              <w:right w:val="single" w:sz="8" w:space="0" w:color="auto"/>
            </w:tcBorders>
            <w:shd w:val="clear" w:color="auto" w:fill="auto"/>
            <w:vAlign w:val="center"/>
            <w:hideMark/>
          </w:tcPr>
          <w:p w14:paraId="42DB22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964B9D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EC24D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Aplikacja musi umożliwić przypisanie nakładów i kosztów sprzętu do odpowiedniego zlecenia.</w:t>
            </w:r>
          </w:p>
        </w:tc>
        <w:tc>
          <w:tcPr>
            <w:tcW w:w="850" w:type="dxa"/>
            <w:tcBorders>
              <w:top w:val="nil"/>
              <w:left w:val="nil"/>
              <w:bottom w:val="single" w:sz="8" w:space="0" w:color="auto"/>
              <w:right w:val="single" w:sz="8" w:space="0" w:color="auto"/>
            </w:tcBorders>
            <w:shd w:val="clear" w:color="auto" w:fill="auto"/>
            <w:vAlign w:val="center"/>
            <w:hideMark/>
          </w:tcPr>
          <w:p w14:paraId="6F4D73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F63967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3B35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rejestrować godzinę rozpoczęcia i zakończenia przejazdu z punktu A do punktu B, czas przejazdu, przebieg trasy, ilość przejechanych kilometrów i przepracowanych motogodzin, zużycie paliwa.</w:t>
            </w:r>
          </w:p>
        </w:tc>
        <w:tc>
          <w:tcPr>
            <w:tcW w:w="850" w:type="dxa"/>
            <w:tcBorders>
              <w:top w:val="nil"/>
              <w:left w:val="nil"/>
              <w:bottom w:val="single" w:sz="8" w:space="0" w:color="auto"/>
              <w:right w:val="single" w:sz="8" w:space="0" w:color="auto"/>
            </w:tcBorders>
            <w:shd w:val="clear" w:color="auto" w:fill="auto"/>
            <w:vAlign w:val="center"/>
            <w:hideMark/>
          </w:tcPr>
          <w:p w14:paraId="128C67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1F72D2F"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9034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Aplikacja musi umożliwiać rejestrowanie dzień, godzinę, ilość tankowania paliwa wpisywaną automatycznie (w połączeniu z modułem magazynowym – stacją paliw) lub w przypadku awarii systemu i/lub braku połączenia z danym modułem ręcznie.</w:t>
            </w:r>
          </w:p>
        </w:tc>
        <w:tc>
          <w:tcPr>
            <w:tcW w:w="850" w:type="dxa"/>
            <w:tcBorders>
              <w:top w:val="nil"/>
              <w:left w:val="nil"/>
              <w:bottom w:val="single" w:sz="8" w:space="0" w:color="auto"/>
              <w:right w:val="single" w:sz="8" w:space="0" w:color="auto"/>
            </w:tcBorders>
            <w:shd w:val="clear" w:color="auto" w:fill="auto"/>
            <w:vAlign w:val="center"/>
            <w:hideMark/>
          </w:tcPr>
          <w:p w14:paraId="293A70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bl>
    <w:p w14:paraId="56AD5BEE" w14:textId="77777777" w:rsidR="002120F4" w:rsidRDefault="002120F4"/>
    <w:sectPr w:rsidR="002120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E7A"/>
    <w:rsid w:val="001B42FF"/>
    <w:rsid w:val="001D44E7"/>
    <w:rsid w:val="002039FC"/>
    <w:rsid w:val="002120F4"/>
    <w:rsid w:val="002A2574"/>
    <w:rsid w:val="006074E9"/>
    <w:rsid w:val="008C3FFE"/>
    <w:rsid w:val="00B2506D"/>
    <w:rsid w:val="00B97E7A"/>
    <w:rsid w:val="00D200B4"/>
    <w:rsid w:val="00DE4B95"/>
    <w:rsid w:val="00E36A33"/>
    <w:rsid w:val="00F349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9B3E"/>
  <w15:chartTrackingRefBased/>
  <w15:docId w15:val="{60A5F7E7-8BCA-43F5-92BE-CD0D9B44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97E7A"/>
    <w:rPr>
      <w:color w:val="0563C1"/>
      <w:u w:val="single"/>
    </w:rPr>
  </w:style>
  <w:style w:type="character" w:styleId="UyteHipercze">
    <w:name w:val="FollowedHyperlink"/>
    <w:basedOn w:val="Domylnaczcionkaakapitu"/>
    <w:uiPriority w:val="99"/>
    <w:semiHidden/>
    <w:unhideWhenUsed/>
    <w:rsid w:val="00B97E7A"/>
    <w:rPr>
      <w:color w:val="954F72"/>
      <w:u w:val="single"/>
    </w:rPr>
  </w:style>
  <w:style w:type="paragraph" w:customStyle="1" w:styleId="msonormal0">
    <w:name w:val="msonormal"/>
    <w:basedOn w:val="Normalny"/>
    <w:rsid w:val="00B97E7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5">
    <w:name w:val="font5"/>
    <w:basedOn w:val="Normalny"/>
    <w:rsid w:val="00B97E7A"/>
    <w:pPr>
      <w:spacing w:before="100" w:beforeAutospacing="1" w:after="100" w:afterAutospacing="1" w:line="240" w:lineRule="auto"/>
    </w:pPr>
    <w:rPr>
      <w:rFonts w:ascii="Times New Roman" w:eastAsia="Times New Roman" w:hAnsi="Times New Roman" w:cs="Times New Roman"/>
      <w:kern w:val="0"/>
      <w:sz w:val="28"/>
      <w:szCs w:val="28"/>
      <w:lang w:eastAsia="pl-PL"/>
      <w14:ligatures w14:val="none"/>
    </w:rPr>
  </w:style>
  <w:style w:type="paragraph" w:customStyle="1" w:styleId="font6">
    <w:name w:val="font6"/>
    <w:basedOn w:val="Normalny"/>
    <w:rsid w:val="00B97E7A"/>
    <w:pPr>
      <w:spacing w:before="100" w:beforeAutospacing="1" w:after="100" w:afterAutospacing="1" w:line="240" w:lineRule="auto"/>
    </w:pPr>
    <w:rPr>
      <w:rFonts w:ascii="Times New Roman" w:eastAsia="Times New Roman" w:hAnsi="Times New Roman" w:cs="Times New Roman"/>
      <w:kern w:val="0"/>
      <w:sz w:val="26"/>
      <w:szCs w:val="26"/>
      <w:lang w:eastAsia="pl-PL"/>
      <w14:ligatures w14:val="none"/>
    </w:rPr>
  </w:style>
  <w:style w:type="paragraph" w:customStyle="1" w:styleId="xl63">
    <w:name w:val="xl63"/>
    <w:basedOn w:val="Normalny"/>
    <w:rsid w:val="00B97E7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pl-PL"/>
      <w14:ligatures w14:val="none"/>
    </w:rPr>
  </w:style>
  <w:style w:type="paragraph" w:customStyle="1" w:styleId="xl64">
    <w:name w:val="xl64"/>
    <w:basedOn w:val="Normalny"/>
    <w:rsid w:val="00B97E7A"/>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5">
    <w:name w:val="xl65"/>
    <w:basedOn w:val="Normalny"/>
    <w:rsid w:val="00B97E7A"/>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6">
    <w:name w:val="xl66"/>
    <w:basedOn w:val="Normalny"/>
    <w:rsid w:val="00B97E7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7">
    <w:name w:val="xl67"/>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8">
    <w:name w:val="xl68"/>
    <w:basedOn w:val="Normalny"/>
    <w:rsid w:val="00B97E7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9">
    <w:name w:val="xl69"/>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0">
    <w:name w:val="xl70"/>
    <w:basedOn w:val="Normalny"/>
    <w:rsid w:val="00B97E7A"/>
    <w:pPr>
      <w:shd w:val="clear" w:color="000000" w:fill="BFBFBF"/>
      <w:spacing w:before="100" w:beforeAutospacing="1" w:after="100" w:afterAutospacing="1" w:line="240" w:lineRule="auto"/>
      <w:textAlignment w:val="center"/>
    </w:pPr>
    <w:rPr>
      <w:rFonts w:ascii="Times New Roman" w:eastAsia="Times New Roman" w:hAnsi="Times New Roman" w:cs="Times New Roman"/>
      <w:kern w:val="0"/>
      <w:sz w:val="28"/>
      <w:szCs w:val="28"/>
      <w:lang w:eastAsia="pl-PL"/>
      <w14:ligatures w14:val="none"/>
    </w:rPr>
  </w:style>
  <w:style w:type="paragraph" w:customStyle="1" w:styleId="xl71">
    <w:name w:val="xl71"/>
    <w:basedOn w:val="Normalny"/>
    <w:rsid w:val="00B97E7A"/>
    <w:pPr>
      <w:shd w:val="clear" w:color="000000" w:fill="BFBFBF"/>
      <w:spacing w:before="100" w:beforeAutospacing="1" w:after="100" w:afterAutospacing="1" w:line="240" w:lineRule="auto"/>
      <w:textAlignment w:val="center"/>
    </w:pPr>
    <w:rPr>
      <w:rFonts w:ascii="Times New Roman" w:eastAsia="Times New Roman" w:hAnsi="Times New Roman" w:cs="Times New Roman"/>
      <w:kern w:val="0"/>
      <w:sz w:val="28"/>
      <w:szCs w:val="28"/>
      <w:lang w:eastAsia="pl-PL"/>
      <w14:ligatures w14:val="none"/>
    </w:rPr>
  </w:style>
  <w:style w:type="paragraph" w:customStyle="1" w:styleId="xl72">
    <w:name w:val="xl72"/>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3">
    <w:name w:val="xl73"/>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4">
    <w:name w:val="xl74"/>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5">
    <w:name w:val="xl75"/>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6">
    <w:name w:val="xl76"/>
    <w:basedOn w:val="Normalny"/>
    <w:rsid w:val="00B97E7A"/>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7">
    <w:name w:val="xl77"/>
    <w:basedOn w:val="Normalny"/>
    <w:rsid w:val="00B97E7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8">
    <w:name w:val="xl78"/>
    <w:basedOn w:val="Normalny"/>
    <w:rsid w:val="00B97E7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79">
    <w:name w:val="xl79"/>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80">
    <w:name w:val="xl80"/>
    <w:basedOn w:val="Normalny"/>
    <w:rsid w:val="00B97E7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159657">
      <w:bodyDiv w:val="1"/>
      <w:marLeft w:val="0"/>
      <w:marRight w:val="0"/>
      <w:marTop w:val="0"/>
      <w:marBottom w:val="0"/>
      <w:divBdr>
        <w:top w:val="none" w:sz="0" w:space="0" w:color="auto"/>
        <w:left w:val="none" w:sz="0" w:space="0" w:color="auto"/>
        <w:bottom w:val="none" w:sz="0" w:space="0" w:color="auto"/>
        <w:right w:val="none" w:sz="0" w:space="0" w:color="auto"/>
      </w:divBdr>
    </w:div>
    <w:div w:id="181071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1173</TotalTime>
  <Pages>1</Pages>
  <Words>20080</Words>
  <Characters>120483</Characters>
  <Application>Microsoft Office Word</Application>
  <DocSecurity>0</DocSecurity>
  <Lines>1004</Lines>
  <Paragraphs>280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Batka</dc:creator>
  <cp:keywords/>
  <dc:description/>
  <cp:lastModifiedBy>Krzysztof Batka</cp:lastModifiedBy>
  <cp:revision>7</cp:revision>
  <dcterms:created xsi:type="dcterms:W3CDTF">2025-02-07T12:02:00Z</dcterms:created>
  <dcterms:modified xsi:type="dcterms:W3CDTF">2025-02-17T11:55:00Z</dcterms:modified>
</cp:coreProperties>
</file>