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506DE7">
        <w:rPr>
          <w:rFonts w:ascii="Times New Roman" w:hAnsi="Times New Roman" w:cs="Times New Roman"/>
          <w:sz w:val="24"/>
          <w:szCs w:val="24"/>
        </w:rPr>
        <w:t>S-ZF.2380.21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506DE7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506DE7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506DE7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 xml:space="preserve">KPP Olesno </w:t>
      </w:r>
      <w:r w:rsidR="00506DE7">
        <w:rPr>
          <w:rFonts w:ascii="Times New Roman" w:hAnsi="Times New Roman" w:cs="Times New Roman"/>
          <w:b/>
          <w:sz w:val="24"/>
          <w:szCs w:val="24"/>
        </w:rPr>
        <w:t>- zadanie nr 9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201795"/>
    <w:rsid w:val="00506DE7"/>
    <w:rsid w:val="005802AB"/>
    <w:rsid w:val="00762DA2"/>
    <w:rsid w:val="00767796"/>
    <w:rsid w:val="00A81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2025-03-28T10:04:00Z</dcterms:modified>
  <dc:language>pl-PL</dc:language>
</cp:coreProperties>
</file>