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8E0E8" w14:textId="77777777" w:rsidR="000B0F6E" w:rsidRPr="00DE21FF" w:rsidRDefault="000B0F6E" w:rsidP="000B0F6E">
      <w:pPr>
        <w:pStyle w:val="Nagwek1"/>
        <w:rPr>
          <w:rFonts w:ascii="Times New Roman" w:hAnsi="Times New Roman"/>
          <w:sz w:val="20"/>
          <w:szCs w:val="20"/>
        </w:rPr>
      </w:pPr>
      <w:bookmarkStart w:id="0" w:name="_Toc380660040"/>
      <w:bookmarkStart w:id="1" w:name="_Toc158748911"/>
      <w:bookmarkStart w:id="2" w:name="_Toc99087445"/>
      <w:bookmarkStart w:id="3" w:name="_Toc31621021"/>
      <w:r w:rsidRPr="00DE21FF">
        <w:rPr>
          <w:rFonts w:ascii="Times New Roman" w:hAnsi="Times New Roman"/>
          <w:sz w:val="20"/>
          <w:szCs w:val="20"/>
        </w:rPr>
        <w:t>D-02.00.01 - ROBOTY ZIEMNE WYMAGANIA OGÓLNE</w:t>
      </w:r>
      <w:bookmarkStart w:id="4" w:name="_Toc419000089"/>
      <w:bookmarkStart w:id="5" w:name="_Toc418998843"/>
      <w:bookmarkStart w:id="6" w:name="_Toc418998487"/>
      <w:bookmarkStart w:id="7" w:name="_Toc418997078"/>
      <w:bookmarkStart w:id="8" w:name="_Toc418996691"/>
      <w:bookmarkStart w:id="9" w:name="_Toc418996322"/>
      <w:bookmarkStart w:id="10" w:name="_Toc407161178"/>
      <w:bookmarkStart w:id="11" w:name="_Toc405615030"/>
      <w:bookmarkEnd w:id="0"/>
      <w:bookmarkEnd w:id="1"/>
      <w:bookmarkEnd w:id="2"/>
      <w:bookmarkEnd w:id="3"/>
    </w:p>
    <w:p w14:paraId="3D28F488" w14:textId="77777777" w:rsidR="000B0F6E" w:rsidRPr="00DE21FF" w:rsidRDefault="000B0F6E" w:rsidP="000B0F6E">
      <w:pPr>
        <w:rPr>
          <w:lang w:eastAsia="pl-PL"/>
        </w:rPr>
      </w:pPr>
    </w:p>
    <w:p w14:paraId="6739CD7C" w14:textId="77777777" w:rsidR="000B0F6E" w:rsidRPr="005C37EC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12" w:name="_Toc31621022"/>
      <w:r w:rsidRPr="005C37EC">
        <w:rPr>
          <w:rFonts w:ascii="Times New Roman" w:hAnsi="Times New Roman"/>
          <w:color w:val="auto"/>
          <w:sz w:val="20"/>
          <w:szCs w:val="20"/>
        </w:rPr>
        <w:t>WSTĘP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2F8D0436" w14:textId="77777777" w:rsidR="000B0F6E" w:rsidRPr="00BF1D0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13" w:name="_Toc407161179"/>
      <w:bookmarkStart w:id="14" w:name="_Toc405615031"/>
      <w:r w:rsidRPr="00BF1D0F">
        <w:rPr>
          <w:sz w:val="20"/>
          <w:szCs w:val="20"/>
        </w:rPr>
        <w:t>Przedmiot SST</w:t>
      </w:r>
      <w:bookmarkEnd w:id="13"/>
      <w:bookmarkEnd w:id="14"/>
    </w:p>
    <w:p w14:paraId="4FE75040" w14:textId="4B2C285C" w:rsidR="000B0F6E" w:rsidRPr="001010CF" w:rsidRDefault="000B0F6E" w:rsidP="000B0F6E">
      <w:pPr>
        <w:pStyle w:val="Teksttreci0"/>
        <w:widowControl/>
        <w:shd w:val="clear" w:color="auto" w:fill="auto"/>
        <w:suppressAutoHyphens/>
        <w:spacing w:before="0" w:line="240" w:lineRule="auto"/>
        <w:ind w:firstLine="0"/>
        <w:rPr>
          <w:rStyle w:val="PogrubienieTeksttreci115pt"/>
          <w:sz w:val="20"/>
          <w:szCs w:val="20"/>
        </w:rPr>
      </w:pPr>
      <w:r w:rsidRPr="00BF1D0F">
        <w:rPr>
          <w:sz w:val="20"/>
          <w:szCs w:val="20"/>
        </w:rPr>
        <w:t>Przedmiotem niniejszej szczegółowej specyfikacji technicznej (SST) są wymagania dotyczące wykonania i odbioru liniowych robót ziemnych na drogach publicznych</w:t>
      </w:r>
      <w:r>
        <w:rPr>
          <w:sz w:val="20"/>
          <w:szCs w:val="20"/>
        </w:rPr>
        <w:t xml:space="preserve"> dla zadania </w:t>
      </w:r>
      <w:r w:rsidRPr="001010CF">
        <w:rPr>
          <w:rStyle w:val="PogrubienieTeksttreci115pt"/>
          <w:sz w:val="20"/>
          <w:szCs w:val="20"/>
        </w:rPr>
        <w:t>„</w:t>
      </w:r>
      <w:r w:rsidR="00B05622" w:rsidRPr="00B05622">
        <w:rPr>
          <w:rStyle w:val="PogrubienieTeksttreci115pt"/>
          <w:sz w:val="20"/>
          <w:szCs w:val="20"/>
        </w:rPr>
        <w:t>Remont drogi wojewódzkiej nr 731 na wybranych odcinkach: od km 19+340 do km 20+882, od km 21+361 do km 22+682, od km 22+881 do km 24+485 i od km 24+702 do km 25+000, na terenie gminy Warka, powiat grójecki, województwo mazowieckie</w:t>
      </w:r>
      <w:r w:rsidRPr="001010CF">
        <w:rPr>
          <w:rStyle w:val="PogrubienieTeksttreci115pt"/>
          <w:sz w:val="20"/>
          <w:szCs w:val="20"/>
        </w:rPr>
        <w:t>”</w:t>
      </w:r>
      <w:r>
        <w:rPr>
          <w:rStyle w:val="PogrubienieTeksttreci115pt"/>
          <w:sz w:val="20"/>
          <w:szCs w:val="20"/>
        </w:rPr>
        <w:t>.</w:t>
      </w:r>
    </w:p>
    <w:p w14:paraId="77FE8FC6" w14:textId="77777777" w:rsidR="000B0F6E" w:rsidRPr="00BF1D0F" w:rsidRDefault="000B0F6E" w:rsidP="000B0F6E">
      <w:pPr>
        <w:pStyle w:val="Teksttreci0"/>
        <w:widowControl/>
        <w:shd w:val="clear" w:color="auto" w:fill="auto"/>
        <w:suppressAutoHyphens/>
        <w:spacing w:before="0" w:line="240" w:lineRule="auto"/>
        <w:ind w:firstLine="0"/>
        <w:rPr>
          <w:sz w:val="20"/>
          <w:szCs w:val="20"/>
        </w:rPr>
      </w:pPr>
      <w:r w:rsidRPr="0013070D">
        <w:rPr>
          <w:b/>
          <w:bCs/>
          <w:sz w:val="20"/>
          <w:szCs w:val="20"/>
        </w:rPr>
        <w:t xml:space="preserve"> </w:t>
      </w:r>
    </w:p>
    <w:p w14:paraId="7BDE87AD" w14:textId="77777777" w:rsidR="000B0F6E" w:rsidRPr="00BF1D0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15" w:name="_Toc407161180"/>
      <w:bookmarkStart w:id="16" w:name="_Toc405615032"/>
      <w:r w:rsidRPr="00BF1D0F">
        <w:rPr>
          <w:sz w:val="20"/>
          <w:szCs w:val="20"/>
        </w:rPr>
        <w:t>Zakres stosowania SST</w:t>
      </w:r>
      <w:bookmarkEnd w:id="15"/>
      <w:bookmarkEnd w:id="16"/>
    </w:p>
    <w:p w14:paraId="2307F5A8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17" w:name="_Toc407161181"/>
      <w:bookmarkStart w:id="18" w:name="_Toc405615033"/>
      <w:r w:rsidRPr="00BF1D0F">
        <w:rPr>
          <w:rFonts w:ascii="Times New Roman" w:hAnsi="Times New Roman"/>
          <w:sz w:val="20"/>
          <w:szCs w:val="20"/>
        </w:rPr>
        <w:t>Szczegółowe specyfikacje techniczne wykonania i odbioru robót są stosowane, jako dokument przetargowy i kontraktowy przy zlecaniu i realizacji robót na drogach publicznych.</w:t>
      </w:r>
    </w:p>
    <w:p w14:paraId="0367E09D" w14:textId="77777777" w:rsidR="000B0F6E" w:rsidRPr="00BF1D0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BF1D0F">
        <w:rPr>
          <w:sz w:val="20"/>
          <w:szCs w:val="20"/>
        </w:rPr>
        <w:t>Zakres robót objętych SST</w:t>
      </w:r>
      <w:bookmarkEnd w:id="17"/>
      <w:bookmarkEnd w:id="18"/>
    </w:p>
    <w:p w14:paraId="43208B73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>Ustalenia zawarte w niniejszej specyfikacji dotyczą zasad prowadzenia robót ziemnych w czasie budowy lub modernizacji dróg i obejmują:</w:t>
      </w:r>
    </w:p>
    <w:p w14:paraId="52929F41" w14:textId="77777777" w:rsidR="000B0F6E" w:rsidRPr="00BF1D0F" w:rsidRDefault="000B0F6E" w:rsidP="000B0F6E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BF1D0F">
        <w:rPr>
          <w:sz w:val="20"/>
          <w:szCs w:val="20"/>
        </w:rPr>
        <w:t>wykonanie wykopów w gruntach nieskalistych,</w:t>
      </w:r>
    </w:p>
    <w:p w14:paraId="5DF470B4" w14:textId="77777777" w:rsidR="000B0F6E" w:rsidRPr="00BF1D0F" w:rsidRDefault="000B0F6E" w:rsidP="000B0F6E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BF1D0F">
        <w:rPr>
          <w:sz w:val="20"/>
          <w:szCs w:val="20"/>
        </w:rPr>
        <w:t xml:space="preserve">pozyskiwanie gruntu z ukopu lub </w:t>
      </w:r>
      <w:proofErr w:type="spellStart"/>
      <w:r w:rsidRPr="00BF1D0F">
        <w:rPr>
          <w:sz w:val="20"/>
          <w:szCs w:val="20"/>
        </w:rPr>
        <w:t>dokopu</w:t>
      </w:r>
      <w:proofErr w:type="spellEnd"/>
      <w:r w:rsidRPr="00BF1D0F">
        <w:rPr>
          <w:sz w:val="20"/>
          <w:szCs w:val="20"/>
        </w:rPr>
        <w:t>.</w:t>
      </w:r>
    </w:p>
    <w:p w14:paraId="05949F68" w14:textId="77777777" w:rsidR="000B0F6E" w:rsidRPr="00BF1D0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19" w:name="_Toc407161182"/>
      <w:bookmarkStart w:id="20" w:name="_Toc405615034"/>
      <w:r w:rsidRPr="00BF1D0F">
        <w:rPr>
          <w:sz w:val="20"/>
          <w:szCs w:val="20"/>
        </w:rPr>
        <w:t>Określenia podstawowe</w:t>
      </w:r>
      <w:bookmarkEnd w:id="19"/>
      <w:bookmarkEnd w:id="20"/>
    </w:p>
    <w:p w14:paraId="31B40F7B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Budowla ziemna - budowla wykonana w gruncie lub z gruntu naturalnego lub z gruntu antropogenicznego spełniająca warunki stateczności i odwodnienia.</w:t>
      </w:r>
    </w:p>
    <w:p w14:paraId="63C2AC16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Korpus drogowy - nasyp lub ta część wykopu, która jest ograniczona koroną drogi i skarpami rowów.</w:t>
      </w:r>
    </w:p>
    <w:p w14:paraId="3E50AFFE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Wysokość nasypu lub głębokość wykopu - różnica rzędnej terenu i rzędnej robót ziemnych, wyznaczonych w osi nasypu lub wykopu.</w:t>
      </w:r>
    </w:p>
    <w:p w14:paraId="387C819C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Nasyp niski - nasyp, którego wysokość jest mniejsza niż 1 m.</w:t>
      </w:r>
    </w:p>
    <w:p w14:paraId="1B850B73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Nasyp średni - nasyp, którego wysokość jest zawarta w granicach od 1 do 3 m.</w:t>
      </w:r>
    </w:p>
    <w:p w14:paraId="5A150315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Nasyp wysoki - nasyp, którego wysokość przekracza 3 m.</w:t>
      </w:r>
    </w:p>
    <w:p w14:paraId="73242154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Wykop płytki - wykop, którego głębokość jest mniejsza niż 1 m.</w:t>
      </w:r>
    </w:p>
    <w:p w14:paraId="4C1F9883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Wykop średni - wykop, którego głębokość jest zawarta w granicach od 1 do 3 m.</w:t>
      </w:r>
    </w:p>
    <w:p w14:paraId="732AC350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Wykop głęboki - wykop, którego głębokość przekracza 3 m.</w:t>
      </w:r>
    </w:p>
    <w:p w14:paraId="4A93B937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Bagno - grunt organiczny nasycony wodą, o małej nośności, charakteryzujący się znacznym i długotrwałym osiadaniem pod obciążeniem.</w:t>
      </w:r>
    </w:p>
    <w:p w14:paraId="20355537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Grunt nieskalisty - każdy grunt rodzimy, nieokreślony w punkcie 1.4.12 jako grunt skalisty.</w:t>
      </w:r>
    </w:p>
    <w:p w14:paraId="3912D77A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 xml:space="preserve">Grunt skalisty - grunt rodzimy, lity lub spękany o nie przesuniętych blokach, którego próbki nie wykazują zmian objętości ani nie rozpadają się pod działaniem wody destylowanej; mają wytrzymałość na ściskanie </w:t>
      </w:r>
      <w:proofErr w:type="spellStart"/>
      <w:r w:rsidRPr="00BF1D0F">
        <w:rPr>
          <w:sz w:val="20"/>
          <w:szCs w:val="20"/>
        </w:rPr>
        <w:t>R</w:t>
      </w:r>
      <w:r w:rsidRPr="00BF1D0F">
        <w:rPr>
          <w:sz w:val="20"/>
          <w:szCs w:val="20"/>
          <w:vertAlign w:val="subscript"/>
        </w:rPr>
        <w:t>c</w:t>
      </w:r>
      <w:proofErr w:type="spellEnd"/>
      <w:r w:rsidRPr="00BF1D0F">
        <w:rPr>
          <w:sz w:val="20"/>
          <w:szCs w:val="20"/>
        </w:rPr>
        <w:t xml:space="preserve"> ponad 0,2 </w:t>
      </w:r>
      <w:proofErr w:type="spellStart"/>
      <w:r w:rsidRPr="00BF1D0F">
        <w:rPr>
          <w:sz w:val="20"/>
          <w:szCs w:val="20"/>
        </w:rPr>
        <w:t>MPa</w:t>
      </w:r>
      <w:proofErr w:type="spellEnd"/>
      <w:r w:rsidRPr="00BF1D0F">
        <w:rPr>
          <w:sz w:val="20"/>
          <w:szCs w:val="20"/>
        </w:rPr>
        <w:t>; wymaga użycia środków wybuchowych albo narzędzi pneumatycznych lub hydraulicznych do odspojenia.</w:t>
      </w:r>
    </w:p>
    <w:p w14:paraId="22E13B83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Ukop - miejsce pozyskania gruntu do wykonania nasypów, położone w obrębie pasa robót drogowych.</w:t>
      </w:r>
    </w:p>
    <w:p w14:paraId="35B4E26A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Dokop - miejsce pozyskania gruntu do wykonania nasypów, położone poza pasem robót drogowych.</w:t>
      </w:r>
    </w:p>
    <w:p w14:paraId="775EBD78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Odkład - miejsce wbudowania lub składowania (odwiezienia) gruntów pozyskanych w czasie wykonywania wykopów, a niewykorzystanych do budowy nasypów oraz innych prac związanych z trasą drogową.</w:t>
      </w:r>
    </w:p>
    <w:p w14:paraId="089790F2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Wskaźnik zagęszczenia gruntu - wielkość charakteryzująca stan zagęszczenia gruntu, określona wg wzoru:</w:t>
      </w:r>
    </w:p>
    <w:p w14:paraId="39A03A34" w14:textId="77777777" w:rsidR="000B0F6E" w:rsidRPr="00BF1D0F" w:rsidRDefault="000B0F6E" w:rsidP="000B0F6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eastAsia="Times New Roman" w:hAnsi="Times New Roman"/>
          <w:position w:val="-26"/>
          <w:sz w:val="20"/>
          <w:szCs w:val="20"/>
        </w:rPr>
        <w:object w:dxaOrig="765" w:dyaOrig="615" w14:anchorId="0990CC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0.75pt" o:ole="">
            <v:imagedata r:id="rId5" o:title=""/>
          </v:shape>
          <o:OLEObject Type="Embed" ProgID="Equation.3" ShapeID="_x0000_i1025" DrawAspect="Content" ObjectID="_1794291485" r:id="rId6"/>
        </w:object>
      </w:r>
    </w:p>
    <w:p w14:paraId="52E5AFC3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>gdzie:</w:t>
      </w:r>
    </w:p>
    <w:p w14:paraId="5094A1A2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i/>
          <w:sz w:val="20"/>
          <w:szCs w:val="20"/>
        </w:rPr>
        <w:sym w:font="Symbol" w:char="F072"/>
      </w:r>
      <w:r w:rsidRPr="00BF1D0F">
        <w:rPr>
          <w:rFonts w:ascii="Times New Roman" w:hAnsi="Times New Roman"/>
          <w:sz w:val="20"/>
          <w:szCs w:val="20"/>
          <w:vertAlign w:val="subscript"/>
        </w:rPr>
        <w:t>d</w:t>
      </w:r>
      <w:r w:rsidRPr="00BF1D0F">
        <w:rPr>
          <w:rFonts w:ascii="Times New Roman" w:hAnsi="Times New Roman"/>
          <w:sz w:val="20"/>
          <w:szCs w:val="20"/>
        </w:rPr>
        <w:tab/>
        <w:t>- gęstość objętościowa szkieletu zagęszczonego gruntu, zgodnie z BN-77/8931-12 [9], (Mg/m</w:t>
      </w:r>
      <w:r w:rsidRPr="00BF1D0F">
        <w:rPr>
          <w:rFonts w:ascii="Times New Roman" w:hAnsi="Times New Roman"/>
          <w:sz w:val="20"/>
          <w:szCs w:val="20"/>
          <w:vertAlign w:val="superscript"/>
        </w:rPr>
        <w:t>3</w:t>
      </w:r>
      <w:r w:rsidRPr="00BF1D0F">
        <w:rPr>
          <w:rFonts w:ascii="Times New Roman" w:hAnsi="Times New Roman"/>
          <w:sz w:val="20"/>
          <w:szCs w:val="20"/>
        </w:rPr>
        <w:t>),</w:t>
      </w:r>
    </w:p>
    <w:p w14:paraId="71099CDD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i/>
          <w:sz w:val="20"/>
          <w:szCs w:val="20"/>
        </w:rPr>
        <w:sym w:font="Symbol" w:char="F072"/>
      </w:r>
      <w:proofErr w:type="spellStart"/>
      <w:r w:rsidRPr="00BF1D0F">
        <w:rPr>
          <w:rFonts w:ascii="Times New Roman" w:hAnsi="Times New Roman"/>
          <w:sz w:val="20"/>
          <w:szCs w:val="20"/>
          <w:vertAlign w:val="subscript"/>
        </w:rPr>
        <w:t>ds</w:t>
      </w:r>
      <w:proofErr w:type="spellEnd"/>
      <w:r w:rsidRPr="00BF1D0F">
        <w:rPr>
          <w:rFonts w:ascii="Times New Roman" w:hAnsi="Times New Roman"/>
          <w:sz w:val="20"/>
          <w:szCs w:val="20"/>
        </w:rPr>
        <w:tab/>
        <w:t>- maksymalna gęstość objętościowa szkieletu gruntowego przy wilgotności optymalnej, zgodnie z PN-B-04481:1988 [2], służąca do oceny zagęszczenia gruntu w robotach ziemnych, (Mg/m</w:t>
      </w:r>
      <w:r w:rsidRPr="00BF1D0F">
        <w:rPr>
          <w:rFonts w:ascii="Times New Roman" w:hAnsi="Times New Roman"/>
          <w:sz w:val="20"/>
          <w:szCs w:val="20"/>
          <w:vertAlign w:val="superscript"/>
        </w:rPr>
        <w:t>3</w:t>
      </w:r>
      <w:r w:rsidRPr="00BF1D0F">
        <w:rPr>
          <w:rFonts w:ascii="Times New Roman" w:hAnsi="Times New Roman"/>
          <w:sz w:val="20"/>
          <w:szCs w:val="20"/>
        </w:rPr>
        <w:t>).</w:t>
      </w:r>
    </w:p>
    <w:p w14:paraId="18D3C266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 xml:space="preserve">Wskaźnik różnoziarnistości - wielkość charakteryzująca </w:t>
      </w:r>
      <w:proofErr w:type="spellStart"/>
      <w:r w:rsidRPr="00BF1D0F">
        <w:rPr>
          <w:sz w:val="20"/>
          <w:szCs w:val="20"/>
        </w:rPr>
        <w:t>zagęszczalność</w:t>
      </w:r>
      <w:proofErr w:type="spellEnd"/>
      <w:r w:rsidRPr="00BF1D0F">
        <w:rPr>
          <w:sz w:val="20"/>
          <w:szCs w:val="20"/>
        </w:rPr>
        <w:t xml:space="preserve"> gruntów niespoistych, określona wg wzoru:</w:t>
      </w:r>
    </w:p>
    <w:p w14:paraId="0ED57D21" w14:textId="77777777" w:rsidR="000B0F6E" w:rsidRPr="00BF1D0F" w:rsidRDefault="000B0F6E" w:rsidP="000B0F6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eastAsia="Times New Roman" w:hAnsi="Times New Roman"/>
          <w:position w:val="-26"/>
          <w:sz w:val="20"/>
          <w:szCs w:val="20"/>
        </w:rPr>
        <w:object w:dxaOrig="765" w:dyaOrig="615" w14:anchorId="13030341">
          <v:shape id="_x0000_i1026" type="#_x0000_t75" style="width:38.25pt;height:30.75pt" o:ole="">
            <v:imagedata r:id="rId7" o:title=""/>
          </v:shape>
          <o:OLEObject Type="Embed" ProgID="Equation.3" ShapeID="_x0000_i1026" DrawAspect="Content" ObjectID="_1794291486" r:id="rId8"/>
        </w:object>
      </w:r>
    </w:p>
    <w:p w14:paraId="2F2E05B3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>gdzie:</w:t>
      </w:r>
    </w:p>
    <w:p w14:paraId="139D6C09" w14:textId="77777777" w:rsidR="000B0F6E" w:rsidRPr="00BF1D0F" w:rsidRDefault="000B0F6E" w:rsidP="000B0F6E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i/>
          <w:sz w:val="20"/>
          <w:szCs w:val="20"/>
        </w:rPr>
        <w:t>d</w:t>
      </w:r>
      <w:r w:rsidRPr="00BF1D0F">
        <w:rPr>
          <w:rFonts w:ascii="Times New Roman" w:hAnsi="Times New Roman"/>
          <w:i/>
          <w:sz w:val="20"/>
          <w:szCs w:val="20"/>
          <w:vertAlign w:val="subscript"/>
        </w:rPr>
        <w:t>60</w:t>
      </w:r>
      <w:r w:rsidRPr="00BF1D0F">
        <w:rPr>
          <w:rFonts w:ascii="Times New Roman" w:hAnsi="Times New Roman"/>
          <w:sz w:val="20"/>
          <w:szCs w:val="20"/>
        </w:rPr>
        <w:tab/>
        <w:t>-</w:t>
      </w:r>
      <w:r w:rsidRPr="00BF1D0F">
        <w:rPr>
          <w:rFonts w:ascii="Times New Roman" w:hAnsi="Times New Roman"/>
          <w:sz w:val="20"/>
          <w:szCs w:val="20"/>
        </w:rPr>
        <w:tab/>
        <w:t>średnica oczek sita, przez które przechodzi 60% gruntu, (mm),</w:t>
      </w:r>
    </w:p>
    <w:p w14:paraId="19465E1A" w14:textId="77777777" w:rsidR="000B0F6E" w:rsidRPr="00BF1D0F" w:rsidRDefault="000B0F6E" w:rsidP="000B0F6E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i/>
          <w:sz w:val="20"/>
          <w:szCs w:val="20"/>
        </w:rPr>
        <w:t>d</w:t>
      </w:r>
      <w:r w:rsidRPr="00BF1D0F">
        <w:rPr>
          <w:rFonts w:ascii="Times New Roman" w:hAnsi="Times New Roman"/>
          <w:i/>
          <w:sz w:val="20"/>
          <w:szCs w:val="20"/>
          <w:vertAlign w:val="subscript"/>
        </w:rPr>
        <w:t>10</w:t>
      </w:r>
      <w:r w:rsidRPr="00BF1D0F">
        <w:rPr>
          <w:rFonts w:ascii="Times New Roman" w:hAnsi="Times New Roman"/>
          <w:sz w:val="20"/>
          <w:szCs w:val="20"/>
        </w:rPr>
        <w:tab/>
        <w:t>-</w:t>
      </w:r>
      <w:r w:rsidRPr="00BF1D0F">
        <w:rPr>
          <w:rFonts w:ascii="Times New Roman" w:hAnsi="Times New Roman"/>
          <w:sz w:val="20"/>
          <w:szCs w:val="20"/>
        </w:rPr>
        <w:tab/>
        <w:t>średnica oczek sita, przez które przechodzi 10% gruntu, (mm).</w:t>
      </w:r>
    </w:p>
    <w:p w14:paraId="3B94D434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lastRenderedPageBreak/>
        <w:t>Wskaźnik odkształcenia gruntu - wielkość charakteryzująca stan zagęszczenia gruntu, określona wg wzoru:</w:t>
      </w:r>
    </w:p>
    <w:p w14:paraId="579D90AD" w14:textId="77777777" w:rsidR="000B0F6E" w:rsidRPr="00BF1D0F" w:rsidRDefault="000B0F6E" w:rsidP="000B0F6E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eastAsia="Times New Roman" w:hAnsi="Times New Roman"/>
          <w:position w:val="-26"/>
          <w:sz w:val="20"/>
          <w:szCs w:val="20"/>
        </w:rPr>
        <w:object w:dxaOrig="720" w:dyaOrig="615" w14:anchorId="75A08E88">
          <v:shape id="_x0000_i1027" type="#_x0000_t75" style="width:36pt;height:30.75pt" o:ole="">
            <v:imagedata r:id="rId9" o:title=""/>
          </v:shape>
          <o:OLEObject Type="Embed" ProgID="Equation.3" ShapeID="_x0000_i1027" DrawAspect="Content" ObjectID="_1794291487" r:id="rId10"/>
        </w:object>
      </w:r>
    </w:p>
    <w:p w14:paraId="52C4291E" w14:textId="77777777" w:rsidR="000B0F6E" w:rsidRPr="00BF1D0F" w:rsidRDefault="000B0F6E" w:rsidP="000B0F6E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>gdzie:</w:t>
      </w:r>
    </w:p>
    <w:p w14:paraId="4A6A4FCB" w14:textId="77777777" w:rsidR="000B0F6E" w:rsidRPr="00BF1D0F" w:rsidRDefault="000B0F6E" w:rsidP="000B0F6E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i/>
          <w:sz w:val="20"/>
          <w:szCs w:val="20"/>
        </w:rPr>
        <w:t>E</w:t>
      </w:r>
      <w:r w:rsidRPr="00BF1D0F">
        <w:rPr>
          <w:rFonts w:ascii="Times New Roman" w:hAnsi="Times New Roman"/>
          <w:i/>
          <w:sz w:val="20"/>
          <w:szCs w:val="20"/>
          <w:vertAlign w:val="subscript"/>
        </w:rPr>
        <w:t>1</w:t>
      </w:r>
      <w:r w:rsidRPr="00BF1D0F">
        <w:rPr>
          <w:rFonts w:ascii="Times New Roman" w:hAnsi="Times New Roman"/>
          <w:sz w:val="20"/>
          <w:szCs w:val="20"/>
        </w:rPr>
        <w:tab/>
        <w:t>-</w:t>
      </w:r>
      <w:r w:rsidRPr="00BF1D0F">
        <w:rPr>
          <w:rFonts w:ascii="Times New Roman" w:hAnsi="Times New Roman"/>
          <w:sz w:val="20"/>
          <w:szCs w:val="20"/>
        </w:rPr>
        <w:tab/>
        <w:t>moduł odkształcenia gruntu oznaczony w pierwszym obciążeniu badanej warstwy zgodnie z PN-S-02205:1998 [4],</w:t>
      </w:r>
    </w:p>
    <w:p w14:paraId="6B840E2A" w14:textId="77777777" w:rsidR="000B0F6E" w:rsidRPr="00BF1D0F" w:rsidRDefault="000B0F6E" w:rsidP="000B0F6E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i/>
          <w:sz w:val="20"/>
          <w:szCs w:val="20"/>
        </w:rPr>
        <w:t>E</w:t>
      </w:r>
      <w:r w:rsidRPr="00BF1D0F">
        <w:rPr>
          <w:rFonts w:ascii="Times New Roman" w:hAnsi="Times New Roman"/>
          <w:i/>
          <w:sz w:val="20"/>
          <w:szCs w:val="20"/>
          <w:vertAlign w:val="subscript"/>
        </w:rPr>
        <w:t>2</w:t>
      </w:r>
      <w:r w:rsidRPr="00BF1D0F">
        <w:rPr>
          <w:rFonts w:ascii="Times New Roman" w:hAnsi="Times New Roman"/>
          <w:sz w:val="20"/>
          <w:szCs w:val="20"/>
        </w:rPr>
        <w:tab/>
        <w:t>-</w:t>
      </w:r>
      <w:r w:rsidRPr="00BF1D0F">
        <w:rPr>
          <w:rFonts w:ascii="Times New Roman" w:hAnsi="Times New Roman"/>
          <w:sz w:val="20"/>
          <w:szCs w:val="20"/>
        </w:rPr>
        <w:tab/>
        <w:t>moduł odkształcenia gruntu oznaczony w powtórnym obciążeniu badanej warstwy zgodnie z PN-S-02205:1998 [4].</w:t>
      </w:r>
    </w:p>
    <w:p w14:paraId="44203EEB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proofErr w:type="spellStart"/>
      <w:r w:rsidRPr="00BF1D0F">
        <w:rPr>
          <w:sz w:val="20"/>
          <w:szCs w:val="20"/>
        </w:rPr>
        <w:t>Geosyntetyk</w:t>
      </w:r>
      <w:proofErr w:type="spellEnd"/>
      <w:r w:rsidRPr="00BF1D0F">
        <w:rPr>
          <w:sz w:val="20"/>
          <w:szCs w:val="20"/>
        </w:rPr>
        <w:t xml:space="preserve"> - materiał stosowany w budownictwie drogowym, wytwarzany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 </w:t>
      </w:r>
      <w:proofErr w:type="spellStart"/>
      <w:r w:rsidRPr="00BF1D0F">
        <w:rPr>
          <w:sz w:val="20"/>
          <w:szCs w:val="20"/>
        </w:rPr>
        <w:t>Geosyntetyki</w:t>
      </w:r>
      <w:proofErr w:type="spellEnd"/>
      <w:r w:rsidRPr="00BF1D0F">
        <w:rPr>
          <w:sz w:val="20"/>
          <w:szCs w:val="20"/>
        </w:rPr>
        <w:t xml:space="preserve"> obejmują: </w:t>
      </w:r>
      <w:proofErr w:type="spellStart"/>
      <w:r w:rsidRPr="00BF1D0F">
        <w:rPr>
          <w:sz w:val="20"/>
          <w:szCs w:val="20"/>
        </w:rPr>
        <w:t>geotkaniny</w:t>
      </w:r>
      <w:proofErr w:type="spellEnd"/>
      <w:r w:rsidRPr="00BF1D0F">
        <w:rPr>
          <w:sz w:val="20"/>
          <w:szCs w:val="20"/>
        </w:rPr>
        <w:t xml:space="preserve">, geowłókniny, </w:t>
      </w:r>
      <w:proofErr w:type="spellStart"/>
      <w:r w:rsidRPr="00BF1D0F">
        <w:rPr>
          <w:sz w:val="20"/>
          <w:szCs w:val="20"/>
        </w:rPr>
        <w:t>geodzianiny</w:t>
      </w:r>
      <w:proofErr w:type="spellEnd"/>
      <w:r w:rsidRPr="00BF1D0F">
        <w:rPr>
          <w:sz w:val="20"/>
          <w:szCs w:val="20"/>
        </w:rPr>
        <w:t xml:space="preserve">, </w:t>
      </w:r>
      <w:proofErr w:type="spellStart"/>
      <w:r w:rsidRPr="00BF1D0F">
        <w:rPr>
          <w:sz w:val="20"/>
          <w:szCs w:val="20"/>
        </w:rPr>
        <w:t>georuszty</w:t>
      </w:r>
      <w:proofErr w:type="spellEnd"/>
      <w:r w:rsidRPr="00BF1D0F">
        <w:rPr>
          <w:sz w:val="20"/>
          <w:szCs w:val="20"/>
        </w:rPr>
        <w:t xml:space="preserve">, </w:t>
      </w:r>
      <w:proofErr w:type="spellStart"/>
      <w:r w:rsidRPr="00BF1D0F">
        <w:rPr>
          <w:sz w:val="20"/>
          <w:szCs w:val="20"/>
        </w:rPr>
        <w:t>geosiatki</w:t>
      </w:r>
      <w:proofErr w:type="spellEnd"/>
      <w:r w:rsidRPr="00BF1D0F">
        <w:rPr>
          <w:sz w:val="20"/>
          <w:szCs w:val="20"/>
        </w:rPr>
        <w:t xml:space="preserve">, </w:t>
      </w:r>
      <w:proofErr w:type="spellStart"/>
      <w:r w:rsidRPr="00BF1D0F">
        <w:rPr>
          <w:sz w:val="20"/>
          <w:szCs w:val="20"/>
        </w:rPr>
        <w:t>geokompozyty</w:t>
      </w:r>
      <w:proofErr w:type="spellEnd"/>
      <w:r w:rsidRPr="00BF1D0F">
        <w:rPr>
          <w:sz w:val="20"/>
          <w:szCs w:val="20"/>
        </w:rPr>
        <w:t xml:space="preserve">, </w:t>
      </w:r>
      <w:proofErr w:type="spellStart"/>
      <w:r w:rsidRPr="00BF1D0F">
        <w:rPr>
          <w:sz w:val="20"/>
          <w:szCs w:val="20"/>
        </w:rPr>
        <w:t>geomembrany</w:t>
      </w:r>
      <w:proofErr w:type="spellEnd"/>
      <w:r w:rsidRPr="00BF1D0F">
        <w:rPr>
          <w:sz w:val="20"/>
          <w:szCs w:val="20"/>
        </w:rPr>
        <w:t xml:space="preserve">, zgodnie z wytycznymi </w:t>
      </w:r>
      <w:proofErr w:type="spellStart"/>
      <w:r w:rsidRPr="00BF1D0F">
        <w:rPr>
          <w:sz w:val="20"/>
          <w:szCs w:val="20"/>
        </w:rPr>
        <w:t>IBDiM</w:t>
      </w:r>
      <w:proofErr w:type="spellEnd"/>
      <w:r w:rsidRPr="00BF1D0F">
        <w:rPr>
          <w:sz w:val="20"/>
          <w:szCs w:val="20"/>
        </w:rPr>
        <w:t xml:space="preserve"> [13].</w:t>
      </w:r>
    </w:p>
    <w:p w14:paraId="241A994F" w14:textId="77777777" w:rsidR="000B0F6E" w:rsidRPr="00BF1D0F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BF1D0F">
        <w:rPr>
          <w:sz w:val="20"/>
          <w:szCs w:val="20"/>
        </w:rPr>
        <w:t>Pozostałe określenia podstawowe są zgodne z obowiązującymi, odpowiednimi polskimi normami i z definicjami podanymi w SST D-M-00.00.00 „Wymagania ogólne” punkt 1.4.</w:t>
      </w:r>
    </w:p>
    <w:p w14:paraId="2B7840AB" w14:textId="77777777" w:rsidR="000B0F6E" w:rsidRPr="00BF1D0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21" w:name="_Toc407161183"/>
      <w:bookmarkStart w:id="22" w:name="_Toc405615035"/>
      <w:r w:rsidRPr="00BF1D0F">
        <w:rPr>
          <w:sz w:val="20"/>
          <w:szCs w:val="20"/>
        </w:rPr>
        <w:t>Ogólne wymagania dotyczące robót</w:t>
      </w:r>
      <w:bookmarkEnd w:id="21"/>
      <w:bookmarkEnd w:id="22"/>
    </w:p>
    <w:p w14:paraId="3F55B936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>Ogólne wymagania dotyczące robót podano w SST D-M-00.00.00 „Wymagania ogólne” punkt 1.5.</w:t>
      </w:r>
    </w:p>
    <w:p w14:paraId="56AF2555" w14:textId="77777777" w:rsidR="000B0F6E" w:rsidRPr="00BF1D0F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sz w:val="20"/>
          <w:szCs w:val="20"/>
        </w:rPr>
      </w:pPr>
      <w:bookmarkStart w:id="23" w:name="_Toc419000090"/>
      <w:bookmarkStart w:id="24" w:name="_Toc418998845"/>
      <w:bookmarkStart w:id="25" w:name="_Toc418998489"/>
      <w:bookmarkStart w:id="26" w:name="_Toc418997079"/>
      <w:bookmarkStart w:id="27" w:name="_Toc418996692"/>
      <w:bookmarkStart w:id="28" w:name="_Toc418996323"/>
      <w:bookmarkStart w:id="29" w:name="_Toc407161184"/>
      <w:bookmarkStart w:id="30" w:name="_Toc405615036"/>
      <w:bookmarkStart w:id="31" w:name="_Toc31621023"/>
      <w:r w:rsidRPr="00BF1D0F">
        <w:rPr>
          <w:rFonts w:ascii="Times New Roman" w:hAnsi="Times New Roman"/>
          <w:sz w:val="20"/>
          <w:szCs w:val="20"/>
        </w:rPr>
        <w:t>MATERIAŁY (GRUNTY)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18380A1E" w14:textId="77777777" w:rsidR="000B0F6E" w:rsidRPr="00BF1D0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32" w:name="_Toc407161185"/>
      <w:bookmarkStart w:id="33" w:name="_Toc405615037"/>
      <w:r w:rsidRPr="00BF1D0F">
        <w:rPr>
          <w:sz w:val="20"/>
          <w:szCs w:val="20"/>
        </w:rPr>
        <w:t>Ogólne wymagania dotyczące materiałów</w:t>
      </w:r>
      <w:bookmarkEnd w:id="32"/>
      <w:bookmarkEnd w:id="33"/>
    </w:p>
    <w:p w14:paraId="38E8EB61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>Ogólne wymagania dotyczące materiałów, ich pozyskiwania i składowania, podano w SST D-M-00.00.00 „Wymagania ogólne” punkt 2.</w:t>
      </w:r>
    </w:p>
    <w:p w14:paraId="5A9AB0D8" w14:textId="77777777" w:rsidR="000B0F6E" w:rsidRPr="00BF1D0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34" w:name="_Toc407161186"/>
      <w:bookmarkStart w:id="35" w:name="_Toc405615038"/>
      <w:r w:rsidRPr="00BF1D0F">
        <w:rPr>
          <w:sz w:val="20"/>
          <w:szCs w:val="20"/>
        </w:rPr>
        <w:t>Podział gruntów</w:t>
      </w:r>
      <w:bookmarkEnd w:id="34"/>
      <w:bookmarkEnd w:id="35"/>
    </w:p>
    <w:p w14:paraId="7B7F28AE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 xml:space="preserve">Podział gruntów pod względem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BF1D0F">
        <w:rPr>
          <w:rFonts w:ascii="Times New Roman" w:hAnsi="Times New Roman"/>
          <w:sz w:val="20"/>
          <w:szCs w:val="20"/>
        </w:rPr>
        <w:t>wysadzinowości</w:t>
      </w:r>
      <w:proofErr w:type="spellEnd"/>
      <w:r w:rsidRPr="00BF1D0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BF1D0F">
        <w:rPr>
          <w:rFonts w:ascii="Times New Roman" w:hAnsi="Times New Roman"/>
          <w:sz w:val="20"/>
          <w:szCs w:val="20"/>
        </w:rPr>
        <w:t>podaje tablica 1.</w:t>
      </w:r>
    </w:p>
    <w:p w14:paraId="58488FB9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>Podział gruntów pod względem przydatności do budowy nasypów podano w SST D-02.03.01 punkt 2.</w:t>
      </w:r>
    </w:p>
    <w:p w14:paraId="72BE976D" w14:textId="77777777" w:rsidR="000B0F6E" w:rsidRPr="00BF1D0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36" w:name="_Toc407161187"/>
      <w:bookmarkStart w:id="37" w:name="_Toc405615039"/>
      <w:r w:rsidRPr="00BF1D0F">
        <w:rPr>
          <w:sz w:val="20"/>
          <w:szCs w:val="20"/>
        </w:rPr>
        <w:t>Zasady wykorzystania gruntów</w:t>
      </w:r>
      <w:bookmarkEnd w:id="36"/>
      <w:bookmarkEnd w:id="37"/>
    </w:p>
    <w:p w14:paraId="14C42E08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Inspektora Nadzoru.</w:t>
      </w:r>
    </w:p>
    <w:p w14:paraId="45269F14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>Jeżeli grunty przydatne, uzyskane przy wykonaniu wykopów, nie będąc nadmiarem objętości robót ziemnych, zostały za zgodą Inspektora Nadzoru wywiezione przez Wykonawcę poza teren budowy z przeznaczeniem innym niż budowa nasypów lub wykonanie prac objętych kontraktem, Wykonawca jest zobowiązany do dostarczenia równoważnej objętości gruntów przydatnych ze źródeł własnych, zaakceptowanych przez Inspektora Nadzoru.</w:t>
      </w:r>
    </w:p>
    <w:p w14:paraId="75B1A89D" w14:textId="77777777" w:rsidR="000B0F6E" w:rsidRPr="00BF1D0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F1D0F">
        <w:rPr>
          <w:rFonts w:ascii="Times New Roman" w:hAnsi="Times New Roman"/>
          <w:sz w:val="20"/>
          <w:szCs w:val="20"/>
        </w:rPr>
        <w:t xml:space="preserve">Grunty i materiały nieprzydatne do budowy nasypów, określone w SST D-02.03.01 punkcie 2.4, powinny być wywiezione przez Wykonawcę na odkład. Zapewnienie terenów na odkład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BF1D0F">
        <w:rPr>
          <w:rFonts w:ascii="Times New Roman" w:hAnsi="Times New Roman"/>
          <w:sz w:val="20"/>
          <w:szCs w:val="20"/>
        </w:rPr>
        <w:t xml:space="preserve">należy do obowiązków </w:t>
      </w:r>
      <w:r>
        <w:rPr>
          <w:rFonts w:ascii="Times New Roman" w:hAnsi="Times New Roman"/>
          <w:sz w:val="20"/>
          <w:szCs w:val="20"/>
        </w:rPr>
        <w:t>Wykonawcy</w:t>
      </w:r>
      <w:r w:rsidRPr="00BF1D0F">
        <w:rPr>
          <w:rFonts w:ascii="Times New Roman" w:hAnsi="Times New Roman"/>
          <w:sz w:val="20"/>
          <w:szCs w:val="20"/>
        </w:rPr>
        <w:t>, o ile nie określono tego inaczej w kontrakcie. Inspektor Nadzoru może nakazać pozostawienie na terenie budowy gruntów, których czasowa nieprzydatność wynika jedynie z powodu zamarznięcia lub nadmiernej wilgotności.</w:t>
      </w:r>
    </w:p>
    <w:p w14:paraId="3B9E93E2" w14:textId="77777777" w:rsidR="000B0F6E" w:rsidRPr="00BF1D0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60" w:after="60"/>
        <w:ind w:left="680" w:hanging="680"/>
        <w:rPr>
          <w:sz w:val="20"/>
          <w:szCs w:val="20"/>
        </w:rPr>
      </w:pPr>
      <w:proofErr w:type="spellStart"/>
      <w:r w:rsidRPr="00BF1D0F">
        <w:rPr>
          <w:sz w:val="20"/>
          <w:szCs w:val="20"/>
        </w:rPr>
        <w:t>Geosyntetyk</w:t>
      </w:r>
      <w:proofErr w:type="spellEnd"/>
    </w:p>
    <w:p w14:paraId="4D9C20E3" w14:textId="77777777" w:rsidR="000B0F6E" w:rsidRPr="00BF1D0F" w:rsidRDefault="000B0F6E" w:rsidP="000B0F6E">
      <w:pPr>
        <w:rPr>
          <w:rFonts w:ascii="Times New Roman" w:hAnsi="Times New Roman"/>
          <w:sz w:val="20"/>
          <w:szCs w:val="20"/>
        </w:rPr>
      </w:pPr>
      <w:proofErr w:type="spellStart"/>
      <w:r w:rsidRPr="00BF1D0F">
        <w:rPr>
          <w:rFonts w:ascii="Times New Roman" w:hAnsi="Times New Roman"/>
          <w:sz w:val="20"/>
          <w:szCs w:val="20"/>
        </w:rPr>
        <w:t>Geosyntetyk</w:t>
      </w:r>
      <w:proofErr w:type="spellEnd"/>
      <w:r w:rsidRPr="00BF1D0F">
        <w:rPr>
          <w:rFonts w:ascii="Times New Roman" w:hAnsi="Times New Roman"/>
          <w:sz w:val="20"/>
          <w:szCs w:val="20"/>
        </w:rPr>
        <w:t xml:space="preserve"> powinien być materiałem odpornym na działanie wilgoci, środowiska agresywnego chemicznie i biologicznie oraz temperatury. Powinien być to materiał bez rozdarć, dziur i przerw ciągłości z dobrą przyczepnością do gruntu. Właściwości stosowanych </w:t>
      </w:r>
      <w:proofErr w:type="spellStart"/>
      <w:r w:rsidRPr="00BF1D0F">
        <w:rPr>
          <w:rFonts w:ascii="Times New Roman" w:hAnsi="Times New Roman"/>
          <w:sz w:val="20"/>
          <w:szCs w:val="20"/>
        </w:rPr>
        <w:t>geosyntetyków</w:t>
      </w:r>
      <w:proofErr w:type="spellEnd"/>
      <w:r w:rsidRPr="00BF1D0F">
        <w:rPr>
          <w:rFonts w:ascii="Times New Roman" w:hAnsi="Times New Roman"/>
          <w:sz w:val="20"/>
          <w:szCs w:val="20"/>
        </w:rPr>
        <w:t xml:space="preserve"> powinny być zgodne z PN-EN-963:1999 [6] i dokumentacją projektową. </w:t>
      </w:r>
      <w:proofErr w:type="spellStart"/>
      <w:r w:rsidRPr="00BF1D0F">
        <w:rPr>
          <w:rFonts w:ascii="Times New Roman" w:hAnsi="Times New Roman"/>
          <w:sz w:val="20"/>
          <w:szCs w:val="20"/>
        </w:rPr>
        <w:t>Geosyntetyk</w:t>
      </w:r>
      <w:proofErr w:type="spellEnd"/>
      <w:r w:rsidRPr="00BF1D0F">
        <w:rPr>
          <w:rFonts w:ascii="Times New Roman" w:hAnsi="Times New Roman"/>
          <w:sz w:val="20"/>
          <w:szCs w:val="20"/>
        </w:rPr>
        <w:t xml:space="preserve"> powinien posiadać aprobatę techniczna wydaną przez uprawnioną jednostkę.</w:t>
      </w:r>
    </w:p>
    <w:p w14:paraId="79A691DB" w14:textId="77777777" w:rsidR="000B0F6E" w:rsidRPr="00BF1D0F" w:rsidRDefault="000B0F6E" w:rsidP="000B0F6E">
      <w:pPr>
        <w:pStyle w:val="Tablica"/>
      </w:pPr>
      <w:r w:rsidRPr="00BF1D0F">
        <w:t xml:space="preserve">Tablica 1. Podział gruntów pod względem </w:t>
      </w:r>
      <w:proofErr w:type="spellStart"/>
      <w:r w:rsidRPr="00BF1D0F">
        <w:t>wysadzinowości</w:t>
      </w:r>
      <w:proofErr w:type="spellEnd"/>
      <w:r w:rsidRPr="00BF1D0F">
        <w:t xml:space="preserve"> wg PN-S-02205:1998 [4]</w:t>
      </w:r>
    </w:p>
    <w:tbl>
      <w:tblPr>
        <w:tblW w:w="964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39"/>
        <w:gridCol w:w="1820"/>
        <w:gridCol w:w="911"/>
        <w:gridCol w:w="2091"/>
        <w:gridCol w:w="2091"/>
        <w:gridCol w:w="2093"/>
      </w:tblGrid>
      <w:tr w:rsidR="000B0F6E" w:rsidRPr="000A24B8" w14:paraId="3BD871BE" w14:textId="77777777" w:rsidTr="00FA06FB"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06368642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819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74C943A7" w14:textId="77777777" w:rsidR="000B0F6E" w:rsidRPr="000A24B8" w:rsidRDefault="000B0F6E" w:rsidP="00FA0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Wyszczególnienie właściwości</w:t>
            </w:r>
          </w:p>
        </w:tc>
        <w:tc>
          <w:tcPr>
            <w:tcW w:w="910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83547EA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Jednostki</w:t>
            </w:r>
          </w:p>
        </w:tc>
        <w:tc>
          <w:tcPr>
            <w:tcW w:w="6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14CBB9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Grupy gruntów</w:t>
            </w:r>
          </w:p>
        </w:tc>
      </w:tr>
      <w:tr w:rsidR="000B0F6E" w:rsidRPr="000A24B8" w14:paraId="7CE756DC" w14:textId="77777777" w:rsidTr="00FA06FB">
        <w:tc>
          <w:tcPr>
            <w:tcW w:w="638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79905153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308CCC0C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247CBB9B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035FB94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24B8">
              <w:rPr>
                <w:rFonts w:ascii="Times New Roman" w:hAnsi="Times New Roman"/>
                <w:sz w:val="20"/>
                <w:szCs w:val="20"/>
              </w:rPr>
              <w:t>niewysadzinowe</w:t>
            </w:r>
            <w:proofErr w:type="spellEnd"/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1201478B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wątpliwe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56224CC0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24B8">
              <w:rPr>
                <w:rFonts w:ascii="Times New Roman" w:hAnsi="Times New Roman"/>
                <w:sz w:val="20"/>
                <w:szCs w:val="20"/>
              </w:rPr>
              <w:t>wysadzinowe</w:t>
            </w:r>
            <w:proofErr w:type="spellEnd"/>
          </w:p>
        </w:tc>
      </w:tr>
      <w:tr w:rsidR="000B0F6E" w:rsidRPr="000A24B8" w14:paraId="4658E552" w14:textId="77777777" w:rsidTr="00FA06FB"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FC3274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2861C8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Rodzaj gruntu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C2719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B4C412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rumosz niegliniasty</w:t>
            </w:r>
          </w:p>
          <w:p w14:paraId="1ED2C626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żwir</w:t>
            </w:r>
          </w:p>
          <w:p w14:paraId="170870F4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pospółka</w:t>
            </w:r>
          </w:p>
          <w:p w14:paraId="39E20F9E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piasek gruby</w:t>
            </w:r>
          </w:p>
          <w:p w14:paraId="307DE51C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piasek średni</w:t>
            </w:r>
          </w:p>
          <w:p w14:paraId="68CB2C4D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piasek drobny</w:t>
            </w:r>
          </w:p>
          <w:p w14:paraId="556F6A9A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 xml:space="preserve">żużel </w:t>
            </w:r>
            <w:proofErr w:type="spellStart"/>
            <w:r w:rsidRPr="000A24B8">
              <w:rPr>
                <w:sz w:val="20"/>
                <w:szCs w:val="20"/>
              </w:rPr>
              <w:t>nierozpadowy</w:t>
            </w:r>
            <w:proofErr w:type="spellEnd"/>
          </w:p>
        </w:tc>
        <w:tc>
          <w:tcPr>
            <w:tcW w:w="2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596D9D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piasek pylasty</w:t>
            </w:r>
          </w:p>
          <w:p w14:paraId="37CEE771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zwietrzelina gliniasta</w:t>
            </w:r>
          </w:p>
          <w:p w14:paraId="1791B7DD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rumosz gliniasty</w:t>
            </w:r>
          </w:p>
          <w:p w14:paraId="4C475CA5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żwir gliniasty</w:t>
            </w:r>
          </w:p>
          <w:p w14:paraId="68BA0B18" w14:textId="77777777" w:rsidR="000B0F6E" w:rsidRPr="000A24B8" w:rsidRDefault="000B0F6E" w:rsidP="00FA06FB">
            <w:pPr>
              <w:pStyle w:val="Listapunktowana"/>
              <w:overflowPunct w:val="0"/>
              <w:autoSpaceDE w:val="0"/>
              <w:autoSpaceDN w:val="0"/>
              <w:adjustRightInd w:val="0"/>
              <w:spacing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0A24B8">
              <w:rPr>
                <w:sz w:val="20"/>
                <w:szCs w:val="20"/>
              </w:rPr>
              <w:t>pospółka gliniasta</w:t>
            </w:r>
          </w:p>
        </w:tc>
        <w:tc>
          <w:tcPr>
            <w:tcW w:w="20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4879CD" w14:textId="77777777" w:rsidR="000B0F6E" w:rsidRPr="000A24B8" w:rsidRDefault="000B0F6E" w:rsidP="00FA06FB">
            <w:pPr>
              <w:keepNext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24B8">
              <w:rPr>
                <w:rFonts w:ascii="Times New Roman" w:hAnsi="Times New Roman"/>
                <w:b/>
                <w:sz w:val="20"/>
                <w:szCs w:val="20"/>
              </w:rPr>
              <w:t xml:space="preserve">mało </w:t>
            </w:r>
            <w:proofErr w:type="spellStart"/>
            <w:r w:rsidRPr="000A24B8">
              <w:rPr>
                <w:rFonts w:ascii="Times New Roman" w:hAnsi="Times New Roman"/>
                <w:b/>
                <w:sz w:val="20"/>
                <w:szCs w:val="20"/>
              </w:rPr>
              <w:t>wysadzinowe</w:t>
            </w:r>
            <w:proofErr w:type="spellEnd"/>
          </w:p>
          <w:p w14:paraId="2B757E66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glina piaszczysta zwięzła, glina zwięzła, glina pylasta zwięzła</w:t>
            </w:r>
          </w:p>
          <w:p w14:paraId="557EC920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ił, ił piaszczysty, ił pylasty</w:t>
            </w:r>
          </w:p>
          <w:p w14:paraId="7BF6A1B2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24B8">
              <w:rPr>
                <w:rFonts w:ascii="Times New Roman" w:hAnsi="Times New Roman"/>
                <w:b/>
                <w:sz w:val="20"/>
                <w:szCs w:val="20"/>
              </w:rPr>
              <w:t xml:space="preserve">bardzo </w:t>
            </w:r>
            <w:proofErr w:type="spellStart"/>
            <w:r w:rsidRPr="000A24B8">
              <w:rPr>
                <w:rFonts w:ascii="Times New Roman" w:hAnsi="Times New Roman"/>
                <w:b/>
                <w:sz w:val="20"/>
                <w:szCs w:val="20"/>
              </w:rPr>
              <w:t>wysadzinowe</w:t>
            </w:r>
            <w:proofErr w:type="spellEnd"/>
          </w:p>
          <w:p w14:paraId="3FA61809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piasek gliniasty</w:t>
            </w:r>
          </w:p>
          <w:p w14:paraId="61F4DA2C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pył, pył piaszczysty</w:t>
            </w:r>
          </w:p>
          <w:p w14:paraId="0962C013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glina piaszczysta, glina, glina pylasta</w:t>
            </w:r>
          </w:p>
          <w:p w14:paraId="2C6F5692" w14:textId="77777777" w:rsidR="000B0F6E" w:rsidRPr="000A24B8" w:rsidRDefault="000B0F6E" w:rsidP="00FA0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ił warwowy</w:t>
            </w:r>
          </w:p>
        </w:tc>
      </w:tr>
      <w:tr w:rsidR="000B0F6E" w:rsidRPr="000A24B8" w14:paraId="0BD0D76E" w14:textId="77777777" w:rsidTr="00FA06FB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62632A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831D12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Zawartość cząstek</w:t>
            </w:r>
          </w:p>
          <w:p w14:paraId="08FF1B14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A3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0,075 mm</w:t>
            </w:r>
          </w:p>
          <w:p w14:paraId="3DBE7215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A3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0,02 mm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2B62B9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73DE7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68EB9F0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3C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15</w:t>
            </w:r>
          </w:p>
          <w:p w14:paraId="2C7FD8C5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3C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BDA54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EE39D69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od 15 do 30</w:t>
            </w:r>
          </w:p>
          <w:p w14:paraId="3D1A9744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od 3 do 10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9E88A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CAD1FF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3E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30</w:t>
            </w:r>
          </w:p>
          <w:p w14:paraId="59E6F1A3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3E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</w:tr>
      <w:tr w:rsidR="000B0F6E" w:rsidRPr="000A24B8" w14:paraId="3A434A18" w14:textId="77777777" w:rsidTr="00FA06FB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E548F0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2BFEF3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 xml:space="preserve">Kapilarność bierna </w:t>
            </w:r>
            <w:proofErr w:type="spellStart"/>
            <w:r w:rsidRPr="000A24B8">
              <w:rPr>
                <w:rFonts w:ascii="Times New Roman" w:hAnsi="Times New Roman"/>
                <w:sz w:val="20"/>
                <w:szCs w:val="20"/>
              </w:rPr>
              <w:t>H</w:t>
            </w:r>
            <w:r w:rsidRPr="000A24B8">
              <w:rPr>
                <w:rFonts w:ascii="Times New Roman" w:hAnsi="Times New Roman"/>
                <w:sz w:val="20"/>
                <w:szCs w:val="20"/>
                <w:vertAlign w:val="subscript"/>
              </w:rPr>
              <w:t>kb</w:t>
            </w:r>
            <w:proofErr w:type="spellEnd"/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E06900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28EBBB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3C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1,0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E850C2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B3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1,0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6EE48F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3E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1,0</w:t>
            </w:r>
          </w:p>
        </w:tc>
      </w:tr>
      <w:tr w:rsidR="000B0F6E" w:rsidRPr="000A24B8" w14:paraId="44F1149D" w14:textId="77777777" w:rsidTr="00FA06FB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7E5635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BE00C8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Wskaźnik piaskowy WP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09DBF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207EDC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3E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35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AF6291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od 25 do 35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650156" w14:textId="77777777" w:rsidR="000B0F6E" w:rsidRPr="000A24B8" w:rsidRDefault="000B0F6E" w:rsidP="00FA06FB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3C"/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25</w:t>
            </w:r>
          </w:p>
        </w:tc>
      </w:tr>
    </w:tbl>
    <w:p w14:paraId="6FB092BD" w14:textId="77777777" w:rsidR="000B0F6E" w:rsidRPr="000A24B8" w:rsidRDefault="000B0F6E" w:rsidP="000B0F6E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3FA5658" w14:textId="77777777" w:rsidR="000B0F6E" w:rsidRPr="006E165A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38" w:name="_Toc419000091"/>
      <w:bookmarkStart w:id="39" w:name="_Toc418998846"/>
      <w:bookmarkStart w:id="40" w:name="_Toc418998490"/>
      <w:bookmarkStart w:id="41" w:name="_Toc418997080"/>
      <w:bookmarkStart w:id="42" w:name="_Toc418996693"/>
      <w:bookmarkStart w:id="43" w:name="_Toc418996324"/>
      <w:bookmarkStart w:id="44" w:name="_Toc31621024"/>
      <w:bookmarkStart w:id="45" w:name="_Toc405615042"/>
      <w:r w:rsidRPr="006E165A">
        <w:rPr>
          <w:rFonts w:ascii="Times New Roman" w:hAnsi="Times New Roman"/>
          <w:color w:val="auto"/>
          <w:sz w:val="20"/>
          <w:szCs w:val="20"/>
        </w:rPr>
        <w:t>SPRZĘT</w:t>
      </w:r>
      <w:bookmarkEnd w:id="38"/>
      <w:bookmarkEnd w:id="39"/>
      <w:bookmarkEnd w:id="40"/>
      <w:bookmarkEnd w:id="41"/>
      <w:bookmarkEnd w:id="42"/>
      <w:bookmarkEnd w:id="43"/>
      <w:bookmarkEnd w:id="44"/>
    </w:p>
    <w:p w14:paraId="15CF4736" w14:textId="77777777" w:rsidR="000B0F6E" w:rsidRPr="006E165A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6E165A">
        <w:rPr>
          <w:sz w:val="20"/>
          <w:szCs w:val="20"/>
        </w:rPr>
        <w:t>Ogólne wymagania dotyczące sprzętu</w:t>
      </w:r>
    </w:p>
    <w:p w14:paraId="4BEBA2E8" w14:textId="77777777" w:rsidR="000B0F6E" w:rsidRPr="006E165A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E165A">
        <w:rPr>
          <w:rFonts w:ascii="Times New Roman" w:hAnsi="Times New Roman"/>
          <w:sz w:val="20"/>
          <w:szCs w:val="20"/>
        </w:rPr>
        <w:t>Ogólne wymagania dotyczące sprzętu podano w SST D-M-00.00.00 „Wymagania ogólne” punkt 3.</w:t>
      </w:r>
    </w:p>
    <w:p w14:paraId="29D57247" w14:textId="77777777" w:rsidR="000B0F6E" w:rsidRPr="006E165A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46" w:name="_Toc407161190"/>
      <w:r w:rsidRPr="006E165A">
        <w:rPr>
          <w:sz w:val="20"/>
          <w:szCs w:val="20"/>
        </w:rPr>
        <w:t>Sprzęt do robót ziemnych</w:t>
      </w:r>
      <w:bookmarkEnd w:id="45"/>
      <w:bookmarkEnd w:id="46"/>
    </w:p>
    <w:p w14:paraId="7C8DD905" w14:textId="77777777" w:rsidR="000B0F6E" w:rsidRPr="006E165A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E165A">
        <w:rPr>
          <w:rFonts w:ascii="Times New Roman" w:hAnsi="Times New Roman"/>
          <w:sz w:val="20"/>
          <w:szCs w:val="20"/>
        </w:rPr>
        <w:t>Wykonawca przystępujący do wykonania robót ziemnych powinien wykazać się możliwością korzystania z następującego sprzętu do:</w:t>
      </w:r>
    </w:p>
    <w:p w14:paraId="68CB7CBD" w14:textId="77777777" w:rsidR="000B0F6E" w:rsidRPr="006E165A" w:rsidRDefault="000B0F6E" w:rsidP="000B0F6E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6E165A">
        <w:rPr>
          <w:sz w:val="20"/>
          <w:szCs w:val="20"/>
        </w:rPr>
        <w:t>odspajania i wydobywania gruntów (narzędzia mechaniczne, młoty pneumatyczne, zrywarki, koparki, ładowarki, wiertarki mechaniczne itp.),</w:t>
      </w:r>
    </w:p>
    <w:p w14:paraId="617D5C77" w14:textId="77777777" w:rsidR="000B0F6E" w:rsidRPr="006E165A" w:rsidRDefault="000B0F6E" w:rsidP="000B0F6E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6E165A">
        <w:rPr>
          <w:sz w:val="20"/>
          <w:szCs w:val="20"/>
        </w:rPr>
        <w:t>jednoczesnego wydobywania i przemieszczania gruntów (spycharki, zgarniarki, równiarki, urządzenia do hydromechanizacji itp.),</w:t>
      </w:r>
    </w:p>
    <w:p w14:paraId="21511A19" w14:textId="77777777" w:rsidR="000B0F6E" w:rsidRPr="006E165A" w:rsidRDefault="000B0F6E" w:rsidP="000B0F6E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6E165A">
        <w:rPr>
          <w:sz w:val="20"/>
          <w:szCs w:val="20"/>
        </w:rPr>
        <w:t>transportu mas ziemnych (samochody wywrotki, samochody skrzyniowe, taśmociągi itp.),</w:t>
      </w:r>
    </w:p>
    <w:p w14:paraId="3F62F4E4" w14:textId="77777777" w:rsidR="000B0F6E" w:rsidRPr="006E165A" w:rsidRDefault="000B0F6E" w:rsidP="000B0F6E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6E165A">
        <w:rPr>
          <w:sz w:val="20"/>
          <w:szCs w:val="20"/>
        </w:rPr>
        <w:t>sprzętu zagęszczającego (walce, ubijaki, płyty wibracyjne itp.).</w:t>
      </w:r>
    </w:p>
    <w:p w14:paraId="5259B76D" w14:textId="77777777" w:rsidR="000B0F6E" w:rsidRPr="006E165A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6E165A">
        <w:rPr>
          <w:sz w:val="20"/>
          <w:szCs w:val="20"/>
        </w:rPr>
        <w:t xml:space="preserve">Sprzęt do przenoszenia i układania </w:t>
      </w:r>
      <w:proofErr w:type="spellStart"/>
      <w:r w:rsidRPr="006E165A">
        <w:rPr>
          <w:sz w:val="20"/>
          <w:szCs w:val="20"/>
        </w:rPr>
        <w:t>geosyntetyków</w:t>
      </w:r>
      <w:proofErr w:type="spellEnd"/>
    </w:p>
    <w:p w14:paraId="56DEC051" w14:textId="77777777" w:rsidR="000B0F6E" w:rsidRPr="006E165A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E165A">
        <w:rPr>
          <w:rFonts w:ascii="Times New Roman" w:hAnsi="Times New Roman"/>
          <w:sz w:val="20"/>
          <w:szCs w:val="20"/>
        </w:rPr>
        <w:t xml:space="preserve">Do przenoszenia i układania </w:t>
      </w:r>
      <w:proofErr w:type="spellStart"/>
      <w:r w:rsidRPr="006E165A">
        <w:rPr>
          <w:rFonts w:ascii="Times New Roman" w:hAnsi="Times New Roman"/>
          <w:sz w:val="20"/>
          <w:szCs w:val="20"/>
        </w:rPr>
        <w:t>geosyntetyków</w:t>
      </w:r>
      <w:proofErr w:type="spellEnd"/>
      <w:r w:rsidRPr="006E165A">
        <w:rPr>
          <w:rFonts w:ascii="Times New Roman" w:hAnsi="Times New Roman"/>
          <w:sz w:val="20"/>
          <w:szCs w:val="20"/>
        </w:rPr>
        <w:t xml:space="preserve"> Wykonawca powinien używać odpowiedniego sprzętu zalecanego przez producenta. Wykonawca nie powinien stosować sprzętu mogącego spowodować uszkodzenie układanego materiału.</w:t>
      </w:r>
    </w:p>
    <w:p w14:paraId="3A84B699" w14:textId="77777777" w:rsidR="000B0F6E" w:rsidRPr="006E165A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sz w:val="20"/>
          <w:szCs w:val="20"/>
        </w:rPr>
      </w:pPr>
      <w:bookmarkStart w:id="47" w:name="_Toc419000092"/>
      <w:bookmarkStart w:id="48" w:name="_Toc418998847"/>
      <w:bookmarkStart w:id="49" w:name="_Toc418998491"/>
      <w:bookmarkStart w:id="50" w:name="_Toc418997081"/>
      <w:bookmarkStart w:id="51" w:name="_Toc418996694"/>
      <w:bookmarkStart w:id="52" w:name="_Toc418996325"/>
      <w:bookmarkStart w:id="53" w:name="_Toc407161191"/>
      <w:bookmarkStart w:id="54" w:name="_Toc405615043"/>
      <w:bookmarkStart w:id="55" w:name="_Toc31621025"/>
      <w:r w:rsidRPr="006E165A">
        <w:rPr>
          <w:rFonts w:ascii="Times New Roman" w:hAnsi="Times New Roman"/>
          <w:sz w:val="20"/>
          <w:szCs w:val="20"/>
        </w:rPr>
        <w:t>TRANSPORT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105DD6E3" w14:textId="77777777" w:rsidR="000B0F6E" w:rsidRPr="006E165A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56" w:name="_Toc407161192"/>
      <w:bookmarkStart w:id="57" w:name="_Toc405615044"/>
      <w:r w:rsidRPr="006E165A">
        <w:rPr>
          <w:sz w:val="20"/>
          <w:szCs w:val="20"/>
        </w:rPr>
        <w:t>Ogólne wymagania dotyczące transportu</w:t>
      </w:r>
      <w:bookmarkEnd w:id="56"/>
      <w:bookmarkEnd w:id="57"/>
    </w:p>
    <w:p w14:paraId="7B098AFE" w14:textId="77777777" w:rsidR="000B0F6E" w:rsidRPr="006E165A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E165A">
        <w:rPr>
          <w:rFonts w:ascii="Times New Roman" w:hAnsi="Times New Roman"/>
          <w:sz w:val="20"/>
          <w:szCs w:val="20"/>
        </w:rPr>
        <w:t>Ogólne wymagania dotyczące transportu podano w SST D-M-00.00.00 „Wymagania ogólne” punkt 4.</w:t>
      </w:r>
    </w:p>
    <w:p w14:paraId="38262BE2" w14:textId="77777777" w:rsidR="000B0F6E" w:rsidRPr="006E165A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58" w:name="_Toc407161193"/>
      <w:bookmarkStart w:id="59" w:name="_Toc405615045"/>
      <w:r w:rsidRPr="006E165A">
        <w:rPr>
          <w:sz w:val="20"/>
          <w:szCs w:val="20"/>
        </w:rPr>
        <w:t>Transport gruntów</w:t>
      </w:r>
      <w:bookmarkEnd w:id="58"/>
      <w:bookmarkEnd w:id="59"/>
    </w:p>
    <w:p w14:paraId="2B6E4F73" w14:textId="77777777" w:rsidR="000B0F6E" w:rsidRPr="006E165A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E165A">
        <w:rPr>
          <w:rFonts w:ascii="Times New Roman" w:hAnsi="Times New Roman"/>
          <w:sz w:val="20"/>
          <w:szCs w:val="20"/>
        </w:rPr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14:paraId="41EABA28" w14:textId="77777777" w:rsidR="000B0F6E" w:rsidRPr="006E165A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E165A">
        <w:rPr>
          <w:rFonts w:ascii="Times New Roman" w:hAnsi="Times New Roman"/>
          <w:sz w:val="20"/>
          <w:szCs w:val="20"/>
        </w:rPr>
        <w:t>Zwiększenie odległości transportu ponad wartości zatwierdzone nie może być podstawą roszczeń Wykonawcy, dotyczących dodatkowej zapłaty za transport, o ile zwiększone odległości nie zostały wcześniej zaakceptowane na piśmie przez Inspektora Nadzoru.</w:t>
      </w:r>
    </w:p>
    <w:p w14:paraId="64F46007" w14:textId="77777777" w:rsidR="000B0F6E" w:rsidRPr="006E165A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6E165A">
        <w:rPr>
          <w:sz w:val="20"/>
          <w:szCs w:val="20"/>
        </w:rPr>
        <w:t xml:space="preserve">Transport i składowanie </w:t>
      </w:r>
      <w:proofErr w:type="spellStart"/>
      <w:r w:rsidRPr="006E165A">
        <w:rPr>
          <w:sz w:val="20"/>
          <w:szCs w:val="20"/>
        </w:rPr>
        <w:t>geosyntetyków</w:t>
      </w:r>
      <w:proofErr w:type="spellEnd"/>
    </w:p>
    <w:p w14:paraId="0E14E209" w14:textId="77777777" w:rsidR="000B0F6E" w:rsidRPr="006E165A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E165A">
        <w:rPr>
          <w:rFonts w:ascii="Times New Roman" w:hAnsi="Times New Roman"/>
          <w:sz w:val="20"/>
          <w:szCs w:val="20"/>
        </w:rPr>
        <w:t xml:space="preserve">Wykonawca powinien zadbać, aby transport, przenoszenie, przechowywanie i zabezpieczanie </w:t>
      </w:r>
      <w:proofErr w:type="spellStart"/>
      <w:r w:rsidRPr="006E165A">
        <w:rPr>
          <w:rFonts w:ascii="Times New Roman" w:hAnsi="Times New Roman"/>
          <w:sz w:val="20"/>
          <w:szCs w:val="20"/>
        </w:rPr>
        <w:t>geosyntetyków</w:t>
      </w:r>
      <w:proofErr w:type="spellEnd"/>
      <w:r w:rsidRPr="006E165A">
        <w:rPr>
          <w:rFonts w:ascii="Times New Roman" w:hAnsi="Times New Roman"/>
          <w:sz w:val="20"/>
          <w:szCs w:val="20"/>
        </w:rPr>
        <w:t xml:space="preserve"> były wykonywane w sposób nie powodujący mechanicznych lub chemicznych ich uszkodzeń. </w:t>
      </w:r>
      <w:proofErr w:type="spellStart"/>
      <w:r w:rsidRPr="006E165A">
        <w:rPr>
          <w:rFonts w:ascii="Times New Roman" w:hAnsi="Times New Roman"/>
          <w:sz w:val="20"/>
          <w:szCs w:val="20"/>
        </w:rPr>
        <w:t>Geosyntetyki</w:t>
      </w:r>
      <w:proofErr w:type="spellEnd"/>
      <w:r w:rsidRPr="006E165A">
        <w:rPr>
          <w:rFonts w:ascii="Times New Roman" w:hAnsi="Times New Roman"/>
          <w:sz w:val="20"/>
          <w:szCs w:val="20"/>
        </w:rPr>
        <w:t xml:space="preserve"> wrażliwe na światło słoneczne powinny pozostawać zakryte w czasie od ich wyprodukowania do wbudowania. </w:t>
      </w:r>
    </w:p>
    <w:p w14:paraId="52301F8D" w14:textId="77777777" w:rsidR="000B0F6E" w:rsidRPr="006E165A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60" w:name="_Toc419000093"/>
      <w:bookmarkStart w:id="61" w:name="_Toc418998848"/>
      <w:bookmarkStart w:id="62" w:name="_Toc418998492"/>
      <w:bookmarkStart w:id="63" w:name="_Toc418997082"/>
      <w:bookmarkStart w:id="64" w:name="_Toc418996695"/>
      <w:bookmarkStart w:id="65" w:name="_Toc418996326"/>
      <w:bookmarkStart w:id="66" w:name="_Toc407161194"/>
      <w:bookmarkStart w:id="67" w:name="_Toc405615046"/>
      <w:bookmarkStart w:id="68" w:name="_Toc31621026"/>
      <w:r w:rsidRPr="006E165A">
        <w:rPr>
          <w:rFonts w:ascii="Times New Roman" w:hAnsi="Times New Roman"/>
          <w:color w:val="auto"/>
          <w:sz w:val="20"/>
          <w:szCs w:val="20"/>
        </w:rPr>
        <w:t>WYKONANIE ROBÓT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1B374B7A" w14:textId="77777777" w:rsidR="000B0F6E" w:rsidRPr="006E165A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69" w:name="_Toc407161195"/>
      <w:bookmarkStart w:id="70" w:name="_Toc405615047"/>
      <w:r w:rsidRPr="006E165A">
        <w:rPr>
          <w:sz w:val="20"/>
          <w:szCs w:val="20"/>
        </w:rPr>
        <w:t>Ogólne zasady wykonania robót</w:t>
      </w:r>
      <w:bookmarkEnd w:id="69"/>
      <w:bookmarkEnd w:id="70"/>
    </w:p>
    <w:p w14:paraId="33574656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Ogólne zasady wykonania robót podano w SST D-M-00.00.00 „Wymagania ogólne” punkt 5.</w:t>
      </w:r>
    </w:p>
    <w:p w14:paraId="363221DE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71" w:name="_Toc407161196"/>
      <w:bookmarkStart w:id="72" w:name="_Toc405615048"/>
      <w:r w:rsidRPr="000A24B8">
        <w:rPr>
          <w:sz w:val="20"/>
          <w:szCs w:val="20"/>
        </w:rPr>
        <w:t>Dokładność wykonania wykopów i nasypów</w:t>
      </w:r>
      <w:bookmarkEnd w:id="71"/>
      <w:bookmarkEnd w:id="72"/>
    </w:p>
    <w:p w14:paraId="3C4A0635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Odchylenie osi korpusu ziemnego, w wykopie lub nasypie, od osi projektowanej nie powinny być większe niż </w:t>
      </w:r>
      <w:r w:rsidRPr="000A24B8">
        <w:rPr>
          <w:rFonts w:ascii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hAnsi="Times New Roman"/>
          <w:sz w:val="20"/>
          <w:szCs w:val="20"/>
        </w:rPr>
        <w:t xml:space="preserve"> 10 cm. Różnica w stosunku do projektowanych rzędnych robót ziemnych nie może przekraczać +1 cm i -3 cm.</w:t>
      </w:r>
    </w:p>
    <w:p w14:paraId="7EDD00CF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lastRenderedPageBreak/>
        <w:t xml:space="preserve">Szerokość górnej powierzchni korpusu nie może różnić się od szerokości projektowanej o więcej niż </w:t>
      </w:r>
      <w:r w:rsidRPr="000A24B8">
        <w:rPr>
          <w:rFonts w:ascii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hAnsi="Times New Roman"/>
          <w:sz w:val="20"/>
          <w:szCs w:val="20"/>
        </w:rPr>
        <w:t xml:space="preserve"> 10 cm, a krawędzie korony drogi nie powinny mieć wyraźnych załamań w planie.</w:t>
      </w:r>
    </w:p>
    <w:p w14:paraId="7F74F211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Pochylenie skarp nie powinno różnić się od projektowanego o więcej niż 10% jego wartości wyrażonej tangensem kąta. Maksymalne nierówności na powierzchni skarp nie powinny przekraczać </w:t>
      </w:r>
      <w:r w:rsidRPr="000A24B8">
        <w:rPr>
          <w:rFonts w:ascii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hAnsi="Times New Roman"/>
          <w:sz w:val="20"/>
          <w:szCs w:val="20"/>
        </w:rPr>
        <w:t xml:space="preserve"> 10 cm przy pomiarze łatą 3-metrową, albo powinny być spełnione inne wymagania dotyczące nierówności, wynikające ze sposobu umocnienia powierzchni skarpy.</w:t>
      </w:r>
    </w:p>
    <w:p w14:paraId="44777388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W gruntach skalistych wymagania, dotyczące równości powierzchni dna wykopu oraz pochylenia i równości skarp, powinny być określone w dokumentacji projektowej i SST.</w:t>
      </w:r>
    </w:p>
    <w:p w14:paraId="3597FDE7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73" w:name="_Toc407161197"/>
      <w:bookmarkStart w:id="74" w:name="_Toc405615049"/>
      <w:r w:rsidRPr="000A24B8">
        <w:rPr>
          <w:sz w:val="20"/>
          <w:szCs w:val="20"/>
        </w:rPr>
        <w:t>Odwodnienia pasa robót ziemnych</w:t>
      </w:r>
      <w:bookmarkEnd w:id="73"/>
      <w:bookmarkEnd w:id="74"/>
    </w:p>
    <w:p w14:paraId="22F44410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 w:rsidRPr="000A24B8">
        <w:rPr>
          <w:rFonts w:ascii="Times New Roman" w:hAnsi="Times New Roman"/>
          <w:sz w:val="20"/>
          <w:szCs w:val="20"/>
        </w:rPr>
        <w:t>przewilgoceniem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i nawodnieniem. Wykonawca ma obowiązek takiego wykonywania wykopów i nasypów, aby powierzchniom gruntu nadawać w całym okresie trwania robót spadki, zapewniające prawidłowe odwodnienie.</w:t>
      </w:r>
    </w:p>
    <w:p w14:paraId="0FE3D5AF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14:paraId="32895312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Odprowadzenie wód do istniejących zbiorników naturalnych i urządzeń odwadniających musi być poprzedzone uzgodnieniem z odpowiednimi instytucjami.</w:t>
      </w:r>
    </w:p>
    <w:p w14:paraId="5944B1BA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75" w:name="_Toc407161198"/>
      <w:bookmarkStart w:id="76" w:name="_Toc405615050"/>
      <w:r w:rsidRPr="000A24B8">
        <w:rPr>
          <w:sz w:val="20"/>
          <w:szCs w:val="20"/>
        </w:rPr>
        <w:t>Odwodnienie wykopów</w:t>
      </w:r>
      <w:bookmarkEnd w:id="75"/>
      <w:bookmarkEnd w:id="76"/>
    </w:p>
    <w:p w14:paraId="3B6324C2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Technologia wykonania wykopu musi umożliwiać jego prawidłowe odwodnienie w całym okresie trwania robót ziemnych. Wykonanie wykopów powinno postępować w kierunku podnoszenia się niwelety.</w:t>
      </w:r>
    </w:p>
    <w:p w14:paraId="6585E770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14:paraId="5D0CA008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Źródła wody, odsłonięte przy wykonywaniu wykopów, należy ująć w rowy i /lub dreny. Wody opadowe i gruntowe należy odprowadzić poza teren pasa robót ziemnych.</w:t>
      </w:r>
    </w:p>
    <w:p w14:paraId="486445C5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77" w:name="_Toc407161199"/>
      <w:bookmarkStart w:id="78" w:name="_Toc405615051"/>
      <w:r w:rsidRPr="000A24B8">
        <w:rPr>
          <w:sz w:val="20"/>
          <w:szCs w:val="20"/>
        </w:rPr>
        <w:t>Rowy</w:t>
      </w:r>
      <w:bookmarkEnd w:id="77"/>
      <w:bookmarkEnd w:id="78"/>
    </w:p>
    <w:p w14:paraId="49D581DD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Rowy boczne oraz rowy stokowe powinny być wykonane zgodnie z dokumentacją projektową i SST. Szerokość dna i głębokość rowu nie mogą różnić się od wymiarów projektowanych o więcej niż </w:t>
      </w:r>
      <w:r w:rsidRPr="000A24B8">
        <w:rPr>
          <w:rFonts w:ascii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hAnsi="Times New Roman"/>
          <w:sz w:val="20"/>
          <w:szCs w:val="20"/>
        </w:rPr>
        <w:t xml:space="preserve"> 5 cm. Dokładność wykonania skarp rowów powinna być zgodna z określoną dla skarp wykopów w SST D-02.01.01.</w:t>
      </w:r>
    </w:p>
    <w:p w14:paraId="1EE3D953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0A24B8">
        <w:rPr>
          <w:sz w:val="20"/>
          <w:szCs w:val="20"/>
        </w:rPr>
        <w:t xml:space="preserve">Układanie </w:t>
      </w:r>
      <w:proofErr w:type="spellStart"/>
      <w:r w:rsidRPr="000A24B8">
        <w:rPr>
          <w:sz w:val="20"/>
          <w:szCs w:val="20"/>
        </w:rPr>
        <w:t>geosyntetyków</w:t>
      </w:r>
      <w:proofErr w:type="spellEnd"/>
    </w:p>
    <w:p w14:paraId="2614F70E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0A24B8">
        <w:rPr>
          <w:rFonts w:ascii="Times New Roman" w:hAnsi="Times New Roman"/>
          <w:sz w:val="20"/>
          <w:szCs w:val="20"/>
        </w:rPr>
        <w:t>Geosyntetyki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należy układać łącząc je na zakład zgodnie z dokumentacją projektową i SST. Jeżeli dokumentacja projektowa i SST nie podają inaczej, przylegające do siebie arkusze lub pasy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geosyntetyków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należy układać z zakładem (i kotwieniem) zgodnie z instrukcją producenta lub decyzją projektanta.</w:t>
      </w:r>
    </w:p>
    <w:p w14:paraId="0D56ACE1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W przypadku uszkodzenia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geosyntetyku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, należy w uzgodnieniu z Inspektorem Nadzoru, przykryć to uszkodzenie pasami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geosyntetyku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na długości i szerokości większej o 90 cm od obszaru uszkodzonego.</w:t>
      </w:r>
    </w:p>
    <w:p w14:paraId="5132F094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Warstwa gruntu, na której przewiduje się ułożenie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geosyntetyku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powinna być równa i bez ostrych występów, mogących spowodować uszkodzenie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geosyntetyku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w czasie układania lub pracy. Metoda układania powinna zapewnić przyleganie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geosyntetyku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do warstwy, na której jest układana, na całej jej powierzchni.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Geosyntetyków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nie należy naciągać lub powodować ich zawieszenia na wzgórkach (garbach) lub nad dołami. Nie dopuszcza się ruchu maszyn budowlanych bezpośrednio na ułożonych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geosyntetykach</w:t>
      </w:r>
      <w:proofErr w:type="spellEnd"/>
      <w:r w:rsidRPr="000A24B8">
        <w:rPr>
          <w:rFonts w:ascii="Times New Roman" w:hAnsi="Times New Roman"/>
          <w:sz w:val="20"/>
          <w:szCs w:val="20"/>
        </w:rPr>
        <w:t>. Należy je przykryć gruntem nasypowym niezwłocznie po ułożeniu.</w:t>
      </w:r>
    </w:p>
    <w:p w14:paraId="2A444A7D" w14:textId="77777777" w:rsidR="000B0F6E" w:rsidRPr="00DE21FF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79" w:name="_Toc419000094"/>
      <w:bookmarkStart w:id="80" w:name="_Toc418998849"/>
      <w:bookmarkStart w:id="81" w:name="_Toc418998493"/>
      <w:bookmarkStart w:id="82" w:name="_Toc418997083"/>
      <w:bookmarkStart w:id="83" w:name="_Toc418996696"/>
      <w:bookmarkStart w:id="84" w:name="_Toc418996327"/>
      <w:bookmarkStart w:id="85" w:name="_Toc407161200"/>
      <w:bookmarkStart w:id="86" w:name="_Toc405615052"/>
      <w:bookmarkStart w:id="87" w:name="_Toc31621027"/>
      <w:r w:rsidRPr="00DE21FF">
        <w:rPr>
          <w:rFonts w:ascii="Times New Roman" w:hAnsi="Times New Roman"/>
          <w:color w:val="auto"/>
          <w:sz w:val="20"/>
          <w:szCs w:val="20"/>
        </w:rPr>
        <w:t>KONTROLA JAKOŚCI ROBÓT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8EA6665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88" w:name="_Toc407161201"/>
      <w:bookmarkStart w:id="89" w:name="_Toc405615053"/>
      <w:r w:rsidRPr="000A24B8">
        <w:rPr>
          <w:sz w:val="20"/>
          <w:szCs w:val="20"/>
        </w:rPr>
        <w:t>Ogólne zasady kontroli jakości robót</w:t>
      </w:r>
      <w:bookmarkEnd w:id="88"/>
      <w:bookmarkEnd w:id="89"/>
    </w:p>
    <w:p w14:paraId="7366E104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Ogólne zasady kontroli jakości robót podano w SST D-M-00.00.00 „Wymagania ogólne” punkt 6.</w:t>
      </w:r>
    </w:p>
    <w:p w14:paraId="4CD35CB9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90" w:name="_Toc407161202"/>
      <w:bookmarkStart w:id="91" w:name="_Toc405615054"/>
      <w:r w:rsidRPr="000A24B8">
        <w:rPr>
          <w:sz w:val="20"/>
          <w:szCs w:val="20"/>
        </w:rPr>
        <w:t>Badania i pomiary w czasie wykonywania robót ziemnych</w:t>
      </w:r>
      <w:bookmarkEnd w:id="90"/>
      <w:bookmarkEnd w:id="91"/>
    </w:p>
    <w:p w14:paraId="6399123A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Sprawdzenie odwodnienia</w:t>
      </w:r>
    </w:p>
    <w:p w14:paraId="025D1FEE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Sprawdzenie odwodnienia korpusu ziemnego polega na kontroli zgodności z wymaganiami specyfikacji określonymi w punkcie 5 oraz z dokumentacją projektową.</w:t>
      </w:r>
    </w:p>
    <w:p w14:paraId="499E8D4E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Szczególną uwagę należy zwrócić na:</w:t>
      </w:r>
    </w:p>
    <w:p w14:paraId="629FCABE" w14:textId="77777777" w:rsidR="000B0F6E" w:rsidRPr="000A24B8" w:rsidRDefault="000B0F6E" w:rsidP="000B0F6E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0A24B8">
        <w:rPr>
          <w:sz w:val="20"/>
          <w:szCs w:val="20"/>
        </w:rPr>
        <w:t>właściwe ujęcie i odprowadzenie wód opadowych,</w:t>
      </w:r>
    </w:p>
    <w:p w14:paraId="2731D0F6" w14:textId="77777777" w:rsidR="000B0F6E" w:rsidRPr="000A24B8" w:rsidRDefault="000B0F6E" w:rsidP="000B0F6E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0A24B8">
        <w:rPr>
          <w:sz w:val="20"/>
          <w:szCs w:val="20"/>
        </w:rPr>
        <w:t>właściwe ujęcie i odprowadzenie wysięków wodnych.</w:t>
      </w:r>
    </w:p>
    <w:p w14:paraId="3D2A4376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Sprawdzenie jakości wykonania robót</w:t>
      </w:r>
    </w:p>
    <w:p w14:paraId="196AD465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lastRenderedPageBreak/>
        <w:t>Czynności wchodzące w zakres sprawdzenia jakości wykonania robót określono w punkcie 6 SST D-02.01.01, D-02.02.01 oraz D-02.03.01.</w:t>
      </w:r>
    </w:p>
    <w:p w14:paraId="3262E7F5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92" w:name="_Toc407161203"/>
      <w:bookmarkStart w:id="93" w:name="_Toc405615055"/>
      <w:r w:rsidRPr="000A24B8">
        <w:rPr>
          <w:sz w:val="20"/>
          <w:szCs w:val="20"/>
        </w:rPr>
        <w:t>Badania do odbioru korpusu ziemnego</w:t>
      </w:r>
      <w:bookmarkEnd w:id="92"/>
      <w:bookmarkEnd w:id="93"/>
    </w:p>
    <w:p w14:paraId="17695D80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Częstotliwość oraz zakres badań i pomiarów</w:t>
      </w:r>
    </w:p>
    <w:p w14:paraId="4034B385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Częstotliwość oraz zakres badań i pomiarów do odbioru korpusu ziemnego podaje tablica 2.</w:t>
      </w:r>
    </w:p>
    <w:p w14:paraId="40D7BBC0" w14:textId="77777777" w:rsidR="000B0F6E" w:rsidRPr="000A24B8" w:rsidRDefault="000B0F6E" w:rsidP="000B0F6E">
      <w:pPr>
        <w:pStyle w:val="Tablica"/>
        <w:spacing w:before="0" w:after="0"/>
      </w:pPr>
      <w:r w:rsidRPr="000A24B8">
        <w:t>Tablica 2. Częstotliwość oraz zakres badań i pomiarów wykonanych robót ziemnych</w:t>
      </w:r>
    </w:p>
    <w:tbl>
      <w:tblPr>
        <w:tblW w:w="964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36"/>
        <w:gridCol w:w="3211"/>
        <w:gridCol w:w="5798"/>
      </w:tblGrid>
      <w:tr w:rsidR="000B0F6E" w:rsidRPr="000A24B8" w14:paraId="6923A1C8" w14:textId="77777777" w:rsidTr="00FA06FB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F4A84B3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58D19999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Badana cecha</w:t>
            </w:r>
          </w:p>
        </w:tc>
        <w:tc>
          <w:tcPr>
            <w:tcW w:w="579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BFE62DD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Minimalna częstotliwość badań i pomiarów</w:t>
            </w:r>
          </w:p>
        </w:tc>
      </w:tr>
      <w:tr w:rsidR="000B0F6E" w:rsidRPr="000A24B8" w14:paraId="03794EF2" w14:textId="77777777" w:rsidTr="00FA06FB">
        <w:tc>
          <w:tcPr>
            <w:tcW w:w="6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026C45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005B26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Pomiar szerokości korpusu ziemnego</w:t>
            </w:r>
          </w:p>
        </w:tc>
        <w:tc>
          <w:tcPr>
            <w:tcW w:w="579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B5909A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Pomiar taśmą, szablonem, łatą o długości 3 m i poziomicą lub niwelatorem, w odstępach, co 200 m na prostych, w punktach głównych łuku, co 100 m na łukach o R </w:t>
            </w: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B3"/>
            </w:r>
            <w:r w:rsidRPr="000A24B8">
              <w:rPr>
                <w:rFonts w:ascii="Times New Roman" w:hAnsi="Times New Roman"/>
                <w:sz w:val="20"/>
                <w:szCs w:val="20"/>
              </w:rPr>
              <w:t> 100 m, co 50 m na łukach o R</w:t>
            </w:r>
            <w:r w:rsidRPr="000A24B8">
              <w:rPr>
                <w:rFonts w:ascii="Times New Roman" w:hAnsi="Times New Roman"/>
                <w:sz w:val="20"/>
                <w:szCs w:val="20"/>
              </w:rPr>
              <w:sym w:font="Symbol" w:char="F03C"/>
            </w:r>
            <w:r w:rsidRPr="000A24B8">
              <w:rPr>
                <w:rFonts w:ascii="Times New Roman" w:hAnsi="Times New Roman"/>
                <w:sz w:val="20"/>
                <w:szCs w:val="20"/>
              </w:rPr>
              <w:t>100 m oraz w miejscach, które budzą wątpliwości</w:t>
            </w:r>
          </w:p>
        </w:tc>
      </w:tr>
      <w:tr w:rsidR="000B0F6E" w:rsidRPr="000A24B8" w14:paraId="21AC464C" w14:textId="77777777" w:rsidTr="00FA06FB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65C13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972DA7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Pomiar szerokości dna rowów</w:t>
            </w:r>
          </w:p>
        </w:tc>
        <w:tc>
          <w:tcPr>
            <w:tcW w:w="579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BF36F5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6E" w:rsidRPr="000A24B8" w14:paraId="0666C78B" w14:textId="77777777" w:rsidTr="00FA06FB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119DA9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DA443E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Pomiar rzędnych powierzchni korpusu ziemnego</w:t>
            </w:r>
          </w:p>
        </w:tc>
        <w:tc>
          <w:tcPr>
            <w:tcW w:w="579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78F549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6E" w:rsidRPr="000A24B8" w14:paraId="1D8770FE" w14:textId="77777777" w:rsidTr="00FA06FB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01C0B1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A0BAF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Pomiar pochylenia skarp</w:t>
            </w:r>
          </w:p>
        </w:tc>
        <w:tc>
          <w:tcPr>
            <w:tcW w:w="579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F1A0F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6E" w:rsidRPr="000A24B8" w14:paraId="2CC64156" w14:textId="77777777" w:rsidTr="00FA06FB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674F2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C15C5A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Pomiar równości powierzchni korpusu</w:t>
            </w:r>
          </w:p>
        </w:tc>
        <w:tc>
          <w:tcPr>
            <w:tcW w:w="579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00CD07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6E" w:rsidRPr="000A24B8" w14:paraId="69F740BC" w14:textId="77777777" w:rsidTr="00FA06FB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C55822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D2ECAA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Pomiar równości skarp</w:t>
            </w:r>
          </w:p>
        </w:tc>
        <w:tc>
          <w:tcPr>
            <w:tcW w:w="579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E0735" w14:textId="77777777" w:rsidR="000B0F6E" w:rsidRPr="000A24B8" w:rsidRDefault="000B0F6E" w:rsidP="00FA0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6E" w:rsidRPr="000A24B8" w14:paraId="54D57C20" w14:textId="77777777" w:rsidTr="00FA06FB">
        <w:tc>
          <w:tcPr>
            <w:tcW w:w="6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B6D3F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AFAE2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Pomiar spadku podłużnego powierzchni korpusu lub dna rowu</w:t>
            </w:r>
          </w:p>
        </w:tc>
        <w:tc>
          <w:tcPr>
            <w:tcW w:w="5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176049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Pomiar niwelatorem rzędnych w odstępach, co 200 m oraz w punktach wątpliwych</w:t>
            </w:r>
          </w:p>
        </w:tc>
      </w:tr>
      <w:tr w:rsidR="000B0F6E" w:rsidRPr="000A24B8" w14:paraId="7A285522" w14:textId="77777777" w:rsidTr="00FA06FB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07CCE4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4C0492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Badanie zagęszczenia gruntu</w:t>
            </w:r>
          </w:p>
        </w:tc>
        <w:tc>
          <w:tcPr>
            <w:tcW w:w="5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8224B" w14:textId="77777777" w:rsidR="000B0F6E" w:rsidRPr="000A24B8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24B8">
              <w:rPr>
                <w:rFonts w:ascii="Times New Roman" w:hAnsi="Times New Roman"/>
                <w:sz w:val="20"/>
                <w:szCs w:val="20"/>
              </w:rPr>
              <w:t>Wskaźnik zagęszczenia określać dla każdej ułożonej warstwy, lecz nie rzadziej niż w trzech punktach na 1000 m</w:t>
            </w:r>
            <w:r w:rsidRPr="000A24B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0A24B8">
              <w:rPr>
                <w:rFonts w:ascii="Times New Roman" w:hAnsi="Times New Roman"/>
                <w:sz w:val="20"/>
                <w:szCs w:val="20"/>
              </w:rPr>
              <w:t xml:space="preserve"> warstwy</w:t>
            </w:r>
          </w:p>
        </w:tc>
      </w:tr>
    </w:tbl>
    <w:p w14:paraId="7856FAE6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BE44C01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Szerokość korpusu ziemnego</w:t>
      </w:r>
    </w:p>
    <w:p w14:paraId="4044A558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Szerokość korpusu ziemnego nie może różnić się od szerokości projektowanej o więcej niż </w:t>
      </w:r>
      <w:r w:rsidRPr="000A24B8">
        <w:rPr>
          <w:rFonts w:ascii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hAnsi="Times New Roman"/>
          <w:sz w:val="20"/>
          <w:szCs w:val="20"/>
        </w:rPr>
        <w:t xml:space="preserve"> 10 cm.</w:t>
      </w:r>
    </w:p>
    <w:p w14:paraId="2487F8C9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Szerokość dna rowów</w:t>
      </w:r>
    </w:p>
    <w:p w14:paraId="0F600C5E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Szerokość dna rowów nie może różnić się od szerokości projektowanej o więcej niż </w:t>
      </w:r>
      <w:r w:rsidRPr="000A24B8">
        <w:rPr>
          <w:rFonts w:ascii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hAnsi="Times New Roman"/>
          <w:sz w:val="20"/>
          <w:szCs w:val="20"/>
        </w:rPr>
        <w:t xml:space="preserve"> 5 cm.</w:t>
      </w:r>
    </w:p>
    <w:p w14:paraId="72C7215A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Rzędne korony korpusu ziemnego</w:t>
      </w:r>
    </w:p>
    <w:p w14:paraId="5C57642B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Rzędne korony korpusu ziemnego nie mogą różnić się od rzędnych projektowanych o więcej niż -3 cm lub +1 cm.</w:t>
      </w:r>
    </w:p>
    <w:p w14:paraId="1FAAA3CF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Pochylenie skarp</w:t>
      </w:r>
    </w:p>
    <w:p w14:paraId="705AFC09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Pochylenie skarp nie może różnić się od pochylenia projektowanego o więcej niż 10% wartości pochylenia wyrażonego tangensem kąta.</w:t>
      </w:r>
    </w:p>
    <w:p w14:paraId="6D83DC2E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Równość korony korpusu</w:t>
      </w:r>
    </w:p>
    <w:p w14:paraId="76A2B4BD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Nierówności powierzchni korpusu ziemnego mierzone łatą 3-metrową, nie mogą przekraczać 3 cm.</w:t>
      </w:r>
    </w:p>
    <w:p w14:paraId="5AFCA361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Równość skarp</w:t>
      </w:r>
    </w:p>
    <w:p w14:paraId="2914AFA9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Nierówności skarp, mierzone łatą 3-metrową, nie mogą przekraczać </w:t>
      </w:r>
      <w:r w:rsidRPr="000A24B8">
        <w:rPr>
          <w:rFonts w:ascii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hAnsi="Times New Roman"/>
          <w:sz w:val="20"/>
          <w:szCs w:val="20"/>
        </w:rPr>
        <w:t xml:space="preserve"> 10 cm.</w:t>
      </w:r>
    </w:p>
    <w:p w14:paraId="19A39DB2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Spadek podłużny korony korpusu lub dna rowu</w:t>
      </w:r>
    </w:p>
    <w:p w14:paraId="34E56B17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Spadek podłużny powierzchni korpusu ziemnego lub dna rowu, sprawdzony przez pomiar niwelatorem rzędnych wysokościowych, nie może dawać różnic, w stosunku do rzędnych projektowanych, większych niż -3 cm lub +1 cm.</w:t>
      </w:r>
    </w:p>
    <w:p w14:paraId="604A1863" w14:textId="77777777" w:rsidR="000B0F6E" w:rsidRPr="000A24B8" w:rsidRDefault="000B0F6E" w:rsidP="000B0F6E">
      <w:pPr>
        <w:pStyle w:val="Nagwek3"/>
        <w:keepNext w:val="0"/>
        <w:tabs>
          <w:tab w:val="clear" w:pos="1021"/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0A24B8">
        <w:rPr>
          <w:sz w:val="20"/>
          <w:szCs w:val="20"/>
        </w:rPr>
        <w:t>Zagęszczenie gruntu</w:t>
      </w:r>
    </w:p>
    <w:p w14:paraId="15966F4D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Wskaźnik zagęszczenia gruntu określony zgodnie z BN-77/8931-12 [9] powinien być zgodny z założonym dla odpowiedniej kategorii ruchu. W przypadku gruntów, dla których nie można określić wskaźnika zagęszczenia należy określić wskaźnik odkształcenia I</w:t>
      </w:r>
      <w:r w:rsidRPr="000A24B8">
        <w:rPr>
          <w:rFonts w:ascii="Times New Roman" w:hAnsi="Times New Roman"/>
          <w:sz w:val="20"/>
          <w:szCs w:val="20"/>
          <w:vertAlign w:val="subscript"/>
        </w:rPr>
        <w:t>0</w:t>
      </w:r>
      <w:r w:rsidRPr="000A24B8">
        <w:rPr>
          <w:rFonts w:ascii="Times New Roman" w:hAnsi="Times New Roman"/>
          <w:sz w:val="20"/>
          <w:szCs w:val="20"/>
        </w:rPr>
        <w:t>, zgodnie z normą PN-S-02205:1998 [4].</w:t>
      </w:r>
    </w:p>
    <w:p w14:paraId="47388E93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0A24B8">
        <w:rPr>
          <w:sz w:val="20"/>
          <w:szCs w:val="20"/>
        </w:rPr>
        <w:t xml:space="preserve">Badania </w:t>
      </w:r>
      <w:proofErr w:type="spellStart"/>
      <w:r w:rsidRPr="000A24B8">
        <w:rPr>
          <w:sz w:val="20"/>
          <w:szCs w:val="20"/>
        </w:rPr>
        <w:t>geosyntetyków</w:t>
      </w:r>
      <w:proofErr w:type="spellEnd"/>
    </w:p>
    <w:p w14:paraId="5FC280AE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Przed zastosowaniem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geosyntetyków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w robotach ziemnych, Wykonawca powinien przedstawić Inżynierowi świadectwa stwierdzające, iż zastosowany </w:t>
      </w:r>
      <w:proofErr w:type="spellStart"/>
      <w:r w:rsidRPr="000A24B8">
        <w:rPr>
          <w:rFonts w:ascii="Times New Roman" w:hAnsi="Times New Roman"/>
          <w:sz w:val="20"/>
          <w:szCs w:val="20"/>
        </w:rPr>
        <w:t>geosyntetyk</w:t>
      </w:r>
      <w:proofErr w:type="spellEnd"/>
      <w:r w:rsidRPr="000A24B8">
        <w:rPr>
          <w:rFonts w:ascii="Times New Roman" w:hAnsi="Times New Roman"/>
          <w:sz w:val="20"/>
          <w:szCs w:val="20"/>
        </w:rPr>
        <w:t xml:space="preserve"> odpowiada wymaganiom norm, aprobaty technicznej i zachowa swoje właściwości w kontakcie z materiałami, które będzie oddzielać lub wzmacniać przez okres czasu nie krótszy od podanego w dokumentacji projektowej i SST.</w:t>
      </w:r>
    </w:p>
    <w:p w14:paraId="43CF86E6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94" w:name="_Toc407161204"/>
      <w:bookmarkStart w:id="95" w:name="_Toc405615056"/>
      <w:r w:rsidRPr="000A24B8">
        <w:rPr>
          <w:sz w:val="20"/>
          <w:szCs w:val="20"/>
        </w:rPr>
        <w:t>Zasady postępowania z wadliwie wykonanymi robotami</w:t>
      </w:r>
      <w:bookmarkEnd w:id="94"/>
      <w:bookmarkEnd w:id="95"/>
    </w:p>
    <w:p w14:paraId="0B7710C8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Wszystkie materiały niespełniające wymagań podanych w odpowiednich punktach specyfikacji, zostaną odrzucone. Jeśli materiały niespełniające wymagań zostaną wbudowane lub zastosowane, to na polecenie Inspektora Nadzoru Wykonawca wymieni je na właściwe, na własny koszt.</w:t>
      </w:r>
    </w:p>
    <w:p w14:paraId="71CB795B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Wszystkie roboty, które wykazują większe odchylenia cech od określonych w punktach 5 i 6 specyfikacji powinny być ponownie wykonane przez Wykonawcę na jego koszt.</w:t>
      </w:r>
    </w:p>
    <w:p w14:paraId="25FB9ACF" w14:textId="77777777" w:rsidR="000B0F6E" w:rsidRPr="00DE21F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 xml:space="preserve">Na pisemne wystąpienie Wykonawcy, Inspektor Nadzoru może uznać wadę za nie mającą zasadniczego wpływu na cechy </w:t>
      </w:r>
      <w:r w:rsidRPr="00DE21FF">
        <w:rPr>
          <w:rFonts w:ascii="Times New Roman" w:hAnsi="Times New Roman"/>
          <w:sz w:val="20"/>
          <w:szCs w:val="20"/>
        </w:rPr>
        <w:t>eksploatacyjne drogi i ustali zakres i wielkość potrąceń za obniżoną jakość.</w:t>
      </w:r>
    </w:p>
    <w:p w14:paraId="406ECFB1" w14:textId="77777777" w:rsidR="000B0F6E" w:rsidRPr="00DE21FF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96" w:name="_Toc419000095"/>
      <w:bookmarkStart w:id="97" w:name="_Toc418998850"/>
      <w:bookmarkStart w:id="98" w:name="_Toc418998494"/>
      <w:bookmarkStart w:id="99" w:name="_Toc418997084"/>
      <w:bookmarkStart w:id="100" w:name="_Toc418996697"/>
      <w:bookmarkStart w:id="101" w:name="_Toc418996328"/>
      <w:bookmarkStart w:id="102" w:name="_Toc407161205"/>
      <w:bookmarkStart w:id="103" w:name="_Toc405615057"/>
      <w:bookmarkStart w:id="104" w:name="_Toc31621028"/>
      <w:r w:rsidRPr="00DE21FF">
        <w:rPr>
          <w:rFonts w:ascii="Times New Roman" w:hAnsi="Times New Roman"/>
          <w:color w:val="auto"/>
          <w:sz w:val="20"/>
          <w:szCs w:val="20"/>
        </w:rPr>
        <w:lastRenderedPageBreak/>
        <w:t>OBMIAR ROBÓT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14:paraId="762280A1" w14:textId="77777777" w:rsidR="000B0F6E" w:rsidRPr="00DE21F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105" w:name="_Toc407161206"/>
      <w:bookmarkStart w:id="106" w:name="_Toc405615058"/>
      <w:r w:rsidRPr="00DE21FF">
        <w:rPr>
          <w:sz w:val="20"/>
          <w:szCs w:val="20"/>
        </w:rPr>
        <w:t>Ogólne zasady obmiaru robót</w:t>
      </w:r>
      <w:bookmarkEnd w:id="105"/>
      <w:bookmarkEnd w:id="106"/>
    </w:p>
    <w:p w14:paraId="24AD9DB2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Ogólne zasady obmiaru robót podano w SST D-M-00.00.00 „Wymagania ogólne” punkt 7.</w:t>
      </w:r>
    </w:p>
    <w:p w14:paraId="33877D39" w14:textId="77777777" w:rsidR="000B0F6E" w:rsidRPr="000A24B8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107" w:name="_Toc407161207"/>
      <w:bookmarkStart w:id="108" w:name="_Toc405615059"/>
      <w:r w:rsidRPr="000A24B8">
        <w:rPr>
          <w:sz w:val="20"/>
          <w:szCs w:val="20"/>
        </w:rPr>
        <w:t>Obmiar robót ziemnych</w:t>
      </w:r>
      <w:bookmarkEnd w:id="107"/>
      <w:bookmarkEnd w:id="108"/>
    </w:p>
    <w:p w14:paraId="6FDBB917" w14:textId="77777777" w:rsidR="000B0F6E" w:rsidRPr="000A24B8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Jednostka obmiarową jest m</w:t>
      </w:r>
      <w:r w:rsidRPr="000A24B8">
        <w:rPr>
          <w:rFonts w:ascii="Times New Roman" w:hAnsi="Times New Roman"/>
          <w:sz w:val="20"/>
          <w:szCs w:val="20"/>
          <w:vertAlign w:val="superscript"/>
        </w:rPr>
        <w:t>3</w:t>
      </w:r>
      <w:r w:rsidRPr="000A24B8">
        <w:rPr>
          <w:rFonts w:ascii="Times New Roman" w:hAnsi="Times New Roman"/>
          <w:sz w:val="20"/>
          <w:szCs w:val="20"/>
        </w:rPr>
        <w:t xml:space="preserve"> (metr sześcienny) wykonanych robót ziemnych.</w:t>
      </w:r>
    </w:p>
    <w:p w14:paraId="5B5888D6" w14:textId="77777777" w:rsidR="000B0F6E" w:rsidRPr="00DE21FF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109" w:name="_Toc419000096"/>
      <w:bookmarkStart w:id="110" w:name="_Toc418998851"/>
      <w:bookmarkStart w:id="111" w:name="_Toc418998495"/>
      <w:bookmarkStart w:id="112" w:name="_Toc418997085"/>
      <w:bookmarkStart w:id="113" w:name="_Toc418996698"/>
      <w:bookmarkStart w:id="114" w:name="_Toc418996329"/>
      <w:bookmarkStart w:id="115" w:name="_Toc407161208"/>
      <w:bookmarkStart w:id="116" w:name="_Toc405615060"/>
      <w:bookmarkStart w:id="117" w:name="_Toc31621029"/>
      <w:r w:rsidRPr="00DE21FF">
        <w:rPr>
          <w:rFonts w:ascii="Times New Roman" w:hAnsi="Times New Roman"/>
          <w:color w:val="auto"/>
          <w:sz w:val="20"/>
          <w:szCs w:val="20"/>
        </w:rPr>
        <w:t>ODBIÓR ROBÓT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6E865FB8" w14:textId="77777777" w:rsidR="000B0F6E" w:rsidRPr="00DE21F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21FF">
        <w:rPr>
          <w:rFonts w:ascii="Times New Roman" w:hAnsi="Times New Roman"/>
          <w:sz w:val="20"/>
          <w:szCs w:val="20"/>
        </w:rPr>
        <w:t>Ogólne zasady odbioru robót podano w SST D-M-00.00.00 „Wymagania ogólne” punkt 8.</w:t>
      </w:r>
    </w:p>
    <w:p w14:paraId="3412F7DA" w14:textId="77777777" w:rsidR="000B0F6E" w:rsidRPr="00DE21F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21FF">
        <w:rPr>
          <w:rFonts w:ascii="Times New Roman" w:hAnsi="Times New Roman"/>
          <w:sz w:val="20"/>
          <w:szCs w:val="20"/>
        </w:rPr>
        <w:t>Roboty ziemne uznaje się za wykonane zgodnie z dokumentacją projektową, SST i wymaganiami Inspektora Nadzoru, jeżeli wszystkie pomiary i badania z zachowaniem tolerancji wg punktu 6 dały wyniki pozytywne.</w:t>
      </w:r>
    </w:p>
    <w:p w14:paraId="56BB3026" w14:textId="77777777" w:rsidR="000B0F6E" w:rsidRPr="00DE21FF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118" w:name="_Toc419000097"/>
      <w:bookmarkStart w:id="119" w:name="_Toc418998852"/>
      <w:bookmarkStart w:id="120" w:name="_Toc418998496"/>
      <w:bookmarkStart w:id="121" w:name="_Toc418997086"/>
      <w:bookmarkStart w:id="122" w:name="_Toc418996699"/>
      <w:bookmarkStart w:id="123" w:name="_Toc418996330"/>
      <w:bookmarkStart w:id="124" w:name="_Toc407161209"/>
      <w:bookmarkStart w:id="125" w:name="_Toc405615061"/>
      <w:bookmarkStart w:id="126" w:name="_Toc31621030"/>
      <w:r w:rsidRPr="00DE21FF">
        <w:rPr>
          <w:rFonts w:ascii="Times New Roman" w:hAnsi="Times New Roman"/>
          <w:color w:val="auto"/>
          <w:sz w:val="20"/>
          <w:szCs w:val="20"/>
        </w:rPr>
        <w:t>PODSTAWA PŁATNOŚCI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6633065B" w14:textId="77777777" w:rsidR="000B0F6E" w:rsidRPr="00DE21F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21FF">
        <w:rPr>
          <w:rFonts w:ascii="Times New Roman" w:hAnsi="Times New Roman"/>
          <w:sz w:val="20"/>
          <w:szCs w:val="20"/>
        </w:rPr>
        <w:t>Ogólne ustalenia dotyczące podstawy płatności podano w SST D-M-00.00.00 „Wymagania ogólne” punkt 9.</w:t>
      </w:r>
    </w:p>
    <w:p w14:paraId="4E87C81E" w14:textId="77777777" w:rsidR="000B0F6E" w:rsidRPr="00DE21FF" w:rsidRDefault="000B0F6E" w:rsidP="000B0F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E21FF">
        <w:rPr>
          <w:rFonts w:ascii="Times New Roman" w:hAnsi="Times New Roman"/>
          <w:sz w:val="20"/>
          <w:szCs w:val="20"/>
        </w:rPr>
        <w:t>Zakres czynności objętych ceną jednostkową podano w SST D-02.01.01, D-02.02.01 oraz D-02.03.01 punkt 9.</w:t>
      </w:r>
    </w:p>
    <w:p w14:paraId="4A1518CA" w14:textId="77777777" w:rsidR="000B0F6E" w:rsidRPr="00DE21FF" w:rsidRDefault="000B0F6E" w:rsidP="000B0F6E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127" w:name="_Toc419000098"/>
      <w:bookmarkStart w:id="128" w:name="_Toc418998853"/>
      <w:bookmarkStart w:id="129" w:name="_Toc418998497"/>
      <w:bookmarkStart w:id="130" w:name="_Toc418997087"/>
      <w:bookmarkStart w:id="131" w:name="_Toc418996700"/>
      <w:bookmarkStart w:id="132" w:name="_Toc418996331"/>
      <w:bookmarkStart w:id="133" w:name="_Toc418994924"/>
      <w:bookmarkStart w:id="134" w:name="_Toc407161210"/>
      <w:bookmarkStart w:id="135" w:name="_Toc405615062"/>
      <w:bookmarkStart w:id="136" w:name="_Toc31621031"/>
      <w:r w:rsidRPr="00DE21FF">
        <w:rPr>
          <w:rFonts w:ascii="Times New Roman" w:hAnsi="Times New Roman"/>
          <w:color w:val="auto"/>
          <w:sz w:val="20"/>
          <w:szCs w:val="20"/>
        </w:rPr>
        <w:t>PRZEPISY ZWIĄZANE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2664DAD2" w14:textId="77777777" w:rsidR="000B0F6E" w:rsidRPr="00DE21F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137" w:name="_Toc407161211"/>
      <w:bookmarkStart w:id="138" w:name="_Toc405615063"/>
      <w:r w:rsidRPr="00DE21FF">
        <w:rPr>
          <w:sz w:val="20"/>
          <w:szCs w:val="20"/>
        </w:rPr>
        <w:t>Normy</w:t>
      </w:r>
      <w:bookmarkEnd w:id="137"/>
      <w:bookmarkEnd w:id="138"/>
    </w:p>
    <w:tbl>
      <w:tblPr>
        <w:tblW w:w="964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4"/>
        <w:gridCol w:w="1774"/>
        <w:gridCol w:w="7387"/>
      </w:tblGrid>
      <w:tr w:rsidR="000B0F6E" w:rsidRPr="00DE21FF" w14:paraId="250854F2" w14:textId="77777777" w:rsidTr="00FA06FB">
        <w:tc>
          <w:tcPr>
            <w:tcW w:w="484" w:type="dxa"/>
          </w:tcPr>
          <w:p w14:paraId="062B712D" w14:textId="77777777" w:rsidR="000B0F6E" w:rsidRPr="00DE21FF" w:rsidRDefault="000B0F6E" w:rsidP="000B0F6E">
            <w:pPr>
              <w:pStyle w:val="Listanumerowana"/>
              <w:keepNext/>
              <w:numPr>
                <w:ilvl w:val="0"/>
                <w:numId w:val="5"/>
              </w:numPr>
              <w:textAlignment w:val="auto"/>
            </w:pPr>
          </w:p>
        </w:tc>
        <w:tc>
          <w:tcPr>
            <w:tcW w:w="1773" w:type="dxa"/>
            <w:hideMark/>
          </w:tcPr>
          <w:p w14:paraId="4BA17861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PN-B-02480:1986</w:t>
            </w:r>
          </w:p>
        </w:tc>
        <w:tc>
          <w:tcPr>
            <w:tcW w:w="7382" w:type="dxa"/>
            <w:hideMark/>
          </w:tcPr>
          <w:p w14:paraId="0C940173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Grunty budowlane. Określenia. Symbole. Podział i opis gruntów</w:t>
            </w:r>
          </w:p>
        </w:tc>
      </w:tr>
      <w:tr w:rsidR="000B0F6E" w:rsidRPr="00DE21FF" w14:paraId="744A4D91" w14:textId="77777777" w:rsidTr="00FA06FB">
        <w:tc>
          <w:tcPr>
            <w:tcW w:w="484" w:type="dxa"/>
          </w:tcPr>
          <w:p w14:paraId="4BAF9C48" w14:textId="77777777" w:rsidR="000B0F6E" w:rsidRPr="00DE21FF" w:rsidRDefault="000B0F6E" w:rsidP="000B0F6E">
            <w:pPr>
              <w:pStyle w:val="Listanumerowana"/>
              <w:keepNext/>
              <w:numPr>
                <w:ilvl w:val="0"/>
                <w:numId w:val="5"/>
              </w:numPr>
              <w:textAlignment w:val="auto"/>
            </w:pPr>
          </w:p>
        </w:tc>
        <w:tc>
          <w:tcPr>
            <w:tcW w:w="1773" w:type="dxa"/>
            <w:hideMark/>
          </w:tcPr>
          <w:p w14:paraId="2B0B643A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PN-B-04481:1988</w:t>
            </w:r>
          </w:p>
        </w:tc>
        <w:tc>
          <w:tcPr>
            <w:tcW w:w="7382" w:type="dxa"/>
            <w:hideMark/>
          </w:tcPr>
          <w:p w14:paraId="6F10D863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Grunty budowlane. Badania próbek gruntów</w:t>
            </w:r>
          </w:p>
        </w:tc>
      </w:tr>
      <w:tr w:rsidR="000B0F6E" w:rsidRPr="00DE21FF" w14:paraId="15DD6BF3" w14:textId="77777777" w:rsidTr="00FA06FB">
        <w:tc>
          <w:tcPr>
            <w:tcW w:w="484" w:type="dxa"/>
          </w:tcPr>
          <w:p w14:paraId="618E9A67" w14:textId="77777777" w:rsidR="000B0F6E" w:rsidRPr="00DE21FF" w:rsidRDefault="000B0F6E" w:rsidP="000B0F6E">
            <w:pPr>
              <w:pStyle w:val="Listanumerowana"/>
              <w:keepNext/>
              <w:numPr>
                <w:ilvl w:val="0"/>
                <w:numId w:val="5"/>
              </w:numPr>
              <w:textAlignment w:val="auto"/>
            </w:pPr>
          </w:p>
        </w:tc>
        <w:tc>
          <w:tcPr>
            <w:tcW w:w="1773" w:type="dxa"/>
            <w:hideMark/>
          </w:tcPr>
          <w:p w14:paraId="36C63C75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PN-B-04493:1960</w:t>
            </w:r>
          </w:p>
        </w:tc>
        <w:tc>
          <w:tcPr>
            <w:tcW w:w="7382" w:type="dxa"/>
            <w:hideMark/>
          </w:tcPr>
          <w:p w14:paraId="6E0A2294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Grunty budowlane. Oznaczanie kapilarności biernej</w:t>
            </w:r>
          </w:p>
        </w:tc>
      </w:tr>
      <w:tr w:rsidR="000B0F6E" w:rsidRPr="00DE21FF" w14:paraId="2B36C45E" w14:textId="77777777" w:rsidTr="00FA06FB">
        <w:tc>
          <w:tcPr>
            <w:tcW w:w="484" w:type="dxa"/>
          </w:tcPr>
          <w:p w14:paraId="6A82F735" w14:textId="77777777" w:rsidR="000B0F6E" w:rsidRPr="00DE21FF" w:rsidRDefault="000B0F6E" w:rsidP="000B0F6E">
            <w:pPr>
              <w:pStyle w:val="Listanumerowana"/>
              <w:keepNext/>
              <w:numPr>
                <w:ilvl w:val="0"/>
                <w:numId w:val="5"/>
              </w:numPr>
              <w:textAlignment w:val="auto"/>
            </w:pPr>
          </w:p>
        </w:tc>
        <w:tc>
          <w:tcPr>
            <w:tcW w:w="1773" w:type="dxa"/>
            <w:hideMark/>
          </w:tcPr>
          <w:p w14:paraId="3D52935B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PN-S-02205:1998</w:t>
            </w:r>
          </w:p>
        </w:tc>
        <w:tc>
          <w:tcPr>
            <w:tcW w:w="7382" w:type="dxa"/>
            <w:hideMark/>
          </w:tcPr>
          <w:p w14:paraId="23EBE180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Drogi samochodowe. Roboty ziemne. Wymagania i badania</w:t>
            </w:r>
          </w:p>
        </w:tc>
      </w:tr>
      <w:tr w:rsidR="000B0F6E" w:rsidRPr="00DE21FF" w14:paraId="19A67BEE" w14:textId="77777777" w:rsidTr="00FA06FB">
        <w:tc>
          <w:tcPr>
            <w:tcW w:w="484" w:type="dxa"/>
          </w:tcPr>
          <w:p w14:paraId="6F180DF5" w14:textId="77777777" w:rsidR="000B0F6E" w:rsidRPr="00DE21FF" w:rsidRDefault="000B0F6E" w:rsidP="000B0F6E">
            <w:pPr>
              <w:pStyle w:val="Listanumerowana"/>
              <w:keepNext/>
              <w:numPr>
                <w:ilvl w:val="0"/>
                <w:numId w:val="5"/>
              </w:numPr>
              <w:textAlignment w:val="auto"/>
            </w:pPr>
          </w:p>
        </w:tc>
        <w:tc>
          <w:tcPr>
            <w:tcW w:w="1773" w:type="dxa"/>
            <w:hideMark/>
          </w:tcPr>
          <w:p w14:paraId="08DC589C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PN-ISO10318:1993</w:t>
            </w:r>
          </w:p>
        </w:tc>
        <w:tc>
          <w:tcPr>
            <w:tcW w:w="7382" w:type="dxa"/>
            <w:hideMark/>
          </w:tcPr>
          <w:p w14:paraId="083FFBAB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1FF">
              <w:rPr>
                <w:rFonts w:ascii="Times New Roman" w:hAnsi="Times New Roman"/>
                <w:sz w:val="20"/>
                <w:szCs w:val="20"/>
              </w:rPr>
              <w:t>Geotekstylia</w:t>
            </w:r>
            <w:proofErr w:type="spellEnd"/>
            <w:r w:rsidRPr="00DE21FF">
              <w:rPr>
                <w:rFonts w:ascii="Times New Roman" w:hAnsi="Times New Roman"/>
                <w:sz w:val="20"/>
                <w:szCs w:val="20"/>
              </w:rPr>
              <w:t xml:space="preserve"> – Terminologia</w:t>
            </w:r>
          </w:p>
        </w:tc>
      </w:tr>
      <w:tr w:rsidR="000B0F6E" w:rsidRPr="00DE21FF" w14:paraId="39859CD8" w14:textId="77777777" w:rsidTr="00FA06FB">
        <w:tc>
          <w:tcPr>
            <w:tcW w:w="484" w:type="dxa"/>
          </w:tcPr>
          <w:p w14:paraId="22ED24C4" w14:textId="77777777" w:rsidR="000B0F6E" w:rsidRPr="00DE21FF" w:rsidRDefault="000B0F6E" w:rsidP="000B0F6E">
            <w:pPr>
              <w:pStyle w:val="Listanumerowana"/>
              <w:keepNext/>
              <w:numPr>
                <w:ilvl w:val="0"/>
                <w:numId w:val="5"/>
              </w:numPr>
              <w:textAlignment w:val="auto"/>
            </w:pPr>
          </w:p>
        </w:tc>
        <w:tc>
          <w:tcPr>
            <w:tcW w:w="1773" w:type="dxa"/>
            <w:hideMark/>
          </w:tcPr>
          <w:p w14:paraId="7EA83BBB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PN-EN-963:1999</w:t>
            </w:r>
          </w:p>
        </w:tc>
        <w:tc>
          <w:tcPr>
            <w:tcW w:w="7382" w:type="dxa"/>
            <w:hideMark/>
          </w:tcPr>
          <w:p w14:paraId="17086E8C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1FF">
              <w:rPr>
                <w:rFonts w:ascii="Times New Roman" w:hAnsi="Times New Roman"/>
                <w:sz w:val="20"/>
                <w:szCs w:val="20"/>
              </w:rPr>
              <w:t>Geotekstylia</w:t>
            </w:r>
            <w:proofErr w:type="spellEnd"/>
            <w:r w:rsidRPr="00DE21FF">
              <w:rPr>
                <w:rFonts w:ascii="Times New Roman" w:hAnsi="Times New Roman"/>
                <w:sz w:val="20"/>
                <w:szCs w:val="20"/>
              </w:rPr>
              <w:t xml:space="preserve"> i wyroby pokrewne</w:t>
            </w:r>
          </w:p>
        </w:tc>
      </w:tr>
      <w:tr w:rsidR="000B0F6E" w:rsidRPr="00DE21FF" w14:paraId="0A79F203" w14:textId="77777777" w:rsidTr="00FA06FB">
        <w:tc>
          <w:tcPr>
            <w:tcW w:w="484" w:type="dxa"/>
          </w:tcPr>
          <w:p w14:paraId="55DED5D8" w14:textId="77777777" w:rsidR="000B0F6E" w:rsidRPr="00DE21FF" w:rsidRDefault="000B0F6E" w:rsidP="000B0F6E">
            <w:pPr>
              <w:pStyle w:val="Listanumerowana"/>
              <w:keepNext/>
              <w:numPr>
                <w:ilvl w:val="0"/>
                <w:numId w:val="5"/>
              </w:numPr>
              <w:textAlignment w:val="auto"/>
            </w:pPr>
          </w:p>
        </w:tc>
        <w:tc>
          <w:tcPr>
            <w:tcW w:w="1773" w:type="dxa"/>
            <w:hideMark/>
          </w:tcPr>
          <w:p w14:paraId="60BEB554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BN-64/8931-01</w:t>
            </w:r>
          </w:p>
        </w:tc>
        <w:tc>
          <w:tcPr>
            <w:tcW w:w="7382" w:type="dxa"/>
            <w:hideMark/>
          </w:tcPr>
          <w:p w14:paraId="0F3F4D02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Drogi samochodowe. Oznaczenie wskaźnika piaskowego</w:t>
            </w:r>
          </w:p>
        </w:tc>
      </w:tr>
      <w:tr w:rsidR="000B0F6E" w:rsidRPr="00DE21FF" w14:paraId="655C01BA" w14:textId="77777777" w:rsidTr="00FA06FB">
        <w:tc>
          <w:tcPr>
            <w:tcW w:w="484" w:type="dxa"/>
          </w:tcPr>
          <w:p w14:paraId="03461DFB" w14:textId="77777777" w:rsidR="000B0F6E" w:rsidRPr="00DE21FF" w:rsidRDefault="000B0F6E" w:rsidP="000B0F6E">
            <w:pPr>
              <w:pStyle w:val="Listanumerowana"/>
              <w:keepNext/>
              <w:numPr>
                <w:ilvl w:val="0"/>
                <w:numId w:val="5"/>
              </w:numPr>
              <w:textAlignment w:val="auto"/>
            </w:pPr>
          </w:p>
        </w:tc>
        <w:tc>
          <w:tcPr>
            <w:tcW w:w="1773" w:type="dxa"/>
            <w:hideMark/>
          </w:tcPr>
          <w:p w14:paraId="33F8E533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BN-64/8931-02</w:t>
            </w:r>
          </w:p>
        </w:tc>
        <w:tc>
          <w:tcPr>
            <w:tcW w:w="7382" w:type="dxa"/>
            <w:hideMark/>
          </w:tcPr>
          <w:p w14:paraId="6E7DA626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Drogi samochodowe. Oznaczenie modułu odkształcenia nawierzchni podatnych i podłoża przez obciążenie płytą</w:t>
            </w:r>
          </w:p>
        </w:tc>
      </w:tr>
      <w:tr w:rsidR="000B0F6E" w:rsidRPr="00DE21FF" w14:paraId="34BD1839" w14:textId="77777777" w:rsidTr="00FA06FB">
        <w:tc>
          <w:tcPr>
            <w:tcW w:w="484" w:type="dxa"/>
          </w:tcPr>
          <w:p w14:paraId="15BB3B94" w14:textId="77777777" w:rsidR="000B0F6E" w:rsidRPr="00DE21FF" w:rsidRDefault="000B0F6E" w:rsidP="000B0F6E">
            <w:pPr>
              <w:pStyle w:val="Listanumerowana"/>
              <w:keepNext/>
              <w:numPr>
                <w:ilvl w:val="0"/>
                <w:numId w:val="5"/>
              </w:numPr>
              <w:textAlignment w:val="auto"/>
            </w:pPr>
          </w:p>
        </w:tc>
        <w:tc>
          <w:tcPr>
            <w:tcW w:w="1773" w:type="dxa"/>
            <w:hideMark/>
          </w:tcPr>
          <w:p w14:paraId="4AE94BAC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BN-77/8931-12</w:t>
            </w:r>
          </w:p>
        </w:tc>
        <w:tc>
          <w:tcPr>
            <w:tcW w:w="7382" w:type="dxa"/>
            <w:hideMark/>
          </w:tcPr>
          <w:p w14:paraId="7308D415" w14:textId="77777777" w:rsidR="000B0F6E" w:rsidRPr="00DE21FF" w:rsidRDefault="000B0F6E" w:rsidP="00FA06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1FF">
              <w:rPr>
                <w:rFonts w:ascii="Times New Roman" w:hAnsi="Times New Roman"/>
                <w:sz w:val="20"/>
                <w:szCs w:val="20"/>
              </w:rPr>
              <w:t>Oznaczenie wskaźnika zagęszczenia gruntu</w:t>
            </w:r>
          </w:p>
        </w:tc>
      </w:tr>
    </w:tbl>
    <w:p w14:paraId="55572071" w14:textId="77777777" w:rsidR="000B0F6E" w:rsidRPr="00DE21FF" w:rsidRDefault="000B0F6E" w:rsidP="000B0F6E">
      <w:pPr>
        <w:pStyle w:val="Nagwek2"/>
        <w:tabs>
          <w:tab w:val="clear" w:pos="1021"/>
          <w:tab w:val="num" w:pos="360"/>
          <w:tab w:val="num" w:pos="680"/>
        </w:tabs>
        <w:adjustRightInd w:val="0"/>
        <w:spacing w:before="0" w:after="0"/>
        <w:ind w:left="680" w:hanging="680"/>
        <w:rPr>
          <w:sz w:val="20"/>
          <w:szCs w:val="20"/>
        </w:rPr>
      </w:pPr>
      <w:bookmarkStart w:id="139" w:name="_Toc407161212"/>
      <w:bookmarkStart w:id="140" w:name="_Toc405615064"/>
      <w:r w:rsidRPr="00DE21FF">
        <w:rPr>
          <w:sz w:val="20"/>
          <w:szCs w:val="20"/>
        </w:rPr>
        <w:t>Inne dokumenty</w:t>
      </w:r>
      <w:bookmarkEnd w:id="139"/>
      <w:bookmarkEnd w:id="140"/>
    </w:p>
    <w:p w14:paraId="0A8471CF" w14:textId="77777777" w:rsidR="000B0F6E" w:rsidRPr="00DE21FF" w:rsidRDefault="000B0F6E" w:rsidP="000B0F6E">
      <w:pPr>
        <w:pStyle w:val="Listanumerowana"/>
        <w:numPr>
          <w:ilvl w:val="0"/>
          <w:numId w:val="5"/>
        </w:numPr>
        <w:textAlignment w:val="auto"/>
      </w:pPr>
      <w:r w:rsidRPr="00DE21FF">
        <w:t xml:space="preserve">Wykonanie i odbiór robót ziemnych dla dróg szybkiego ruchu, </w:t>
      </w:r>
      <w:proofErr w:type="spellStart"/>
      <w:r w:rsidRPr="00DE21FF">
        <w:t>IBDiM</w:t>
      </w:r>
      <w:proofErr w:type="spellEnd"/>
      <w:r w:rsidRPr="00DE21FF">
        <w:t>, Warszawa 1978.</w:t>
      </w:r>
    </w:p>
    <w:p w14:paraId="160ED51D" w14:textId="77777777" w:rsidR="000B0F6E" w:rsidRPr="00DE21FF" w:rsidRDefault="000B0F6E" w:rsidP="000B0F6E">
      <w:pPr>
        <w:pStyle w:val="Listanumerowana"/>
        <w:numPr>
          <w:ilvl w:val="0"/>
          <w:numId w:val="5"/>
        </w:numPr>
        <w:textAlignment w:val="auto"/>
      </w:pPr>
      <w:r w:rsidRPr="00DE21FF">
        <w:t>Instrukcja badań podłoża gruntowego budowli drogowych i mostowych, GDDP, Warszawa 1998.</w:t>
      </w:r>
    </w:p>
    <w:p w14:paraId="521274E1" w14:textId="77777777" w:rsidR="000B0F6E" w:rsidRPr="00DE21FF" w:rsidRDefault="000B0F6E" w:rsidP="000B0F6E">
      <w:pPr>
        <w:pStyle w:val="Listanumerowana"/>
        <w:numPr>
          <w:ilvl w:val="0"/>
          <w:numId w:val="5"/>
        </w:numPr>
        <w:textAlignment w:val="auto"/>
      </w:pPr>
      <w:r w:rsidRPr="00DE21FF">
        <w:t xml:space="preserve">Katalog typowych konstrukcji nawierzchni podatnych i półsztywnych, </w:t>
      </w:r>
      <w:proofErr w:type="spellStart"/>
      <w:r w:rsidRPr="00DE21FF">
        <w:t>IBDiM</w:t>
      </w:r>
      <w:proofErr w:type="spellEnd"/>
      <w:r w:rsidRPr="00DE21FF">
        <w:t>, Warszawa 1997.</w:t>
      </w:r>
    </w:p>
    <w:p w14:paraId="291AB02F" w14:textId="77777777" w:rsidR="000B0F6E" w:rsidRDefault="000B0F6E" w:rsidP="000B0F6E">
      <w:pPr>
        <w:pStyle w:val="Listanumerowana"/>
        <w:numPr>
          <w:ilvl w:val="0"/>
          <w:numId w:val="5"/>
        </w:numPr>
        <w:textAlignment w:val="auto"/>
      </w:pPr>
      <w:r w:rsidRPr="000A24B8">
        <w:t xml:space="preserve">Wytyczne wzmacniania podłoża gruntowego w budownictwie drogowym, </w:t>
      </w:r>
      <w:proofErr w:type="spellStart"/>
      <w:r w:rsidRPr="000A24B8">
        <w:t>IBDiM</w:t>
      </w:r>
      <w:proofErr w:type="spellEnd"/>
      <w:r w:rsidRPr="000A24B8">
        <w:t>, Warszawa 2002.</w:t>
      </w:r>
    </w:p>
    <w:p w14:paraId="113C96F5" w14:textId="77777777" w:rsidR="003F1516" w:rsidRDefault="003F1516"/>
    <w:sectPr w:rsidR="003F1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15D6FFF0"/>
    <w:lvl w:ilvl="0">
      <w:start w:val="1"/>
      <w:numFmt w:val="bullet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9F433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2C6E64"/>
    <w:multiLevelType w:val="multilevel"/>
    <w:tmpl w:val="9140EDD6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4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D5744FE"/>
    <w:multiLevelType w:val="multilevel"/>
    <w:tmpl w:val="CDA4C008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680" w:hanging="680"/>
      </w:pPr>
      <w:rPr>
        <w:b/>
        <w:i w:val="0"/>
        <w:caps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22"/>
        </w:tabs>
        <w:ind w:left="822" w:hanging="680"/>
      </w:pPr>
      <w:rPr>
        <w:b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80"/>
        </w:tabs>
        <w:ind w:left="0" w:firstLine="0"/>
      </w:pPr>
      <w:rPr>
        <w:b/>
        <w:i w:val="0"/>
        <w:sz w:val="20"/>
        <w:szCs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17779788">
    <w:abstractNumId w:val="1"/>
  </w:num>
  <w:num w:numId="2" w16cid:durableId="1915166283">
    <w:abstractNumId w:val="2"/>
  </w:num>
  <w:num w:numId="3" w16cid:durableId="1511096289">
    <w:abstractNumId w:val="0"/>
  </w:num>
  <w:num w:numId="4" w16cid:durableId="6888763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443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6E"/>
    <w:rsid w:val="000B0F6E"/>
    <w:rsid w:val="003F1516"/>
    <w:rsid w:val="00434149"/>
    <w:rsid w:val="004B3F13"/>
    <w:rsid w:val="00AE6781"/>
    <w:rsid w:val="00B05622"/>
    <w:rsid w:val="00D4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1DEC8AD"/>
  <w15:chartTrackingRefBased/>
  <w15:docId w15:val="{8CA8797E-2BFB-4BE6-BD72-31A41944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6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B0F6E"/>
    <w:pPr>
      <w:keepNext/>
      <w:keepLines/>
      <w:widowControl w:val="0"/>
      <w:numPr>
        <w:numId w:val="4"/>
      </w:numPr>
      <w:tabs>
        <w:tab w:val="clear" w:pos="680"/>
        <w:tab w:val="num" w:pos="1021"/>
      </w:tabs>
      <w:spacing w:before="480" w:after="0" w:line="240" w:lineRule="auto"/>
      <w:ind w:left="1021" w:hanging="341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aliases w:val="Title 2"/>
    <w:basedOn w:val="Normalny"/>
    <w:link w:val="Nagwek2Znak"/>
    <w:unhideWhenUsed/>
    <w:qFormat/>
    <w:rsid w:val="000B0F6E"/>
    <w:pPr>
      <w:keepNext/>
      <w:numPr>
        <w:ilvl w:val="1"/>
        <w:numId w:val="4"/>
      </w:numPr>
      <w:tabs>
        <w:tab w:val="clear" w:pos="822"/>
        <w:tab w:val="num" w:pos="1021"/>
      </w:tabs>
      <w:overflowPunct w:val="0"/>
      <w:autoSpaceDE w:val="0"/>
      <w:autoSpaceDN w:val="0"/>
      <w:spacing w:before="120" w:after="120" w:line="240" w:lineRule="auto"/>
      <w:ind w:left="1021" w:hanging="341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nhideWhenUsed/>
    <w:qFormat/>
    <w:rsid w:val="000B0F6E"/>
    <w:pPr>
      <w:keepNext/>
      <w:numPr>
        <w:ilvl w:val="2"/>
        <w:numId w:val="4"/>
      </w:numPr>
      <w:tabs>
        <w:tab w:val="clear" w:pos="680"/>
        <w:tab w:val="num" w:pos="1021"/>
      </w:tabs>
      <w:overflowPunct w:val="0"/>
      <w:autoSpaceDE w:val="0"/>
      <w:autoSpaceDN w:val="0"/>
      <w:spacing w:before="60" w:after="60" w:line="240" w:lineRule="auto"/>
      <w:ind w:left="1021" w:hanging="341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0B0F6E"/>
    <w:pPr>
      <w:keepNext/>
      <w:keepLines/>
      <w:widowControl w:val="0"/>
      <w:numPr>
        <w:ilvl w:val="3"/>
        <w:numId w:val="4"/>
      </w:numPr>
      <w:tabs>
        <w:tab w:val="clear" w:pos="680"/>
        <w:tab w:val="num" w:pos="1021"/>
      </w:tabs>
      <w:spacing w:before="200" w:after="0" w:line="240" w:lineRule="auto"/>
      <w:ind w:left="1021" w:hanging="341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0B0F6E"/>
    <w:pPr>
      <w:keepNext/>
      <w:keepLines/>
      <w:widowControl w:val="0"/>
      <w:numPr>
        <w:ilvl w:val="4"/>
        <w:numId w:val="4"/>
      </w:numPr>
      <w:tabs>
        <w:tab w:val="clear" w:pos="1008"/>
        <w:tab w:val="num" w:pos="1021"/>
      </w:tabs>
      <w:spacing w:before="200" w:after="0" w:line="240" w:lineRule="auto"/>
      <w:ind w:left="1021" w:hanging="341"/>
      <w:outlineLvl w:val="4"/>
    </w:pPr>
    <w:rPr>
      <w:rFonts w:ascii="Cambria" w:eastAsia="Times New Roman" w:hAnsi="Cambria"/>
      <w:color w:val="243F6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0B0F6E"/>
    <w:pPr>
      <w:keepNext/>
      <w:keepLines/>
      <w:widowControl w:val="0"/>
      <w:numPr>
        <w:ilvl w:val="5"/>
        <w:numId w:val="4"/>
      </w:numPr>
      <w:tabs>
        <w:tab w:val="clear" w:pos="1152"/>
        <w:tab w:val="num" w:pos="1021"/>
      </w:tabs>
      <w:spacing w:before="200" w:after="0" w:line="240" w:lineRule="auto"/>
      <w:ind w:left="1021" w:hanging="341"/>
      <w:outlineLvl w:val="5"/>
    </w:pPr>
    <w:rPr>
      <w:rFonts w:ascii="Cambria" w:eastAsia="Times New Roman" w:hAnsi="Cambria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B0F6E"/>
    <w:pPr>
      <w:keepNext/>
      <w:numPr>
        <w:ilvl w:val="6"/>
        <w:numId w:val="4"/>
      </w:numPr>
      <w:tabs>
        <w:tab w:val="clear" w:pos="1296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6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B0F6E"/>
    <w:pPr>
      <w:keepNext/>
      <w:numPr>
        <w:ilvl w:val="7"/>
        <w:numId w:val="4"/>
      </w:numPr>
      <w:tabs>
        <w:tab w:val="clear" w:pos="1440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7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0B0F6E"/>
    <w:pPr>
      <w:keepNext/>
      <w:numPr>
        <w:ilvl w:val="8"/>
        <w:numId w:val="4"/>
      </w:numPr>
      <w:tabs>
        <w:tab w:val="clear" w:pos="1584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8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B0F6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aliases w:val="Title 2 Znak"/>
    <w:basedOn w:val="Domylnaczcionkaakapitu"/>
    <w:link w:val="Nagwek2"/>
    <w:rsid w:val="000B0F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B0F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B0F6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B0F6E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0B0F6E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B0F6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B0F6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0B0F6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0B0F6E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0F6E"/>
    <w:pPr>
      <w:widowControl w:val="0"/>
      <w:shd w:val="clear" w:color="auto" w:fill="FFFFFF"/>
      <w:spacing w:before="120" w:after="0" w:line="274" w:lineRule="exact"/>
      <w:ind w:hanging="560"/>
      <w:jc w:val="both"/>
    </w:pPr>
    <w:rPr>
      <w:rFonts w:ascii="Times New Roman" w:eastAsia="Times New Roman" w:hAnsi="Times New Roman" w:cstheme="minorBidi"/>
      <w:sz w:val="21"/>
      <w:szCs w:val="21"/>
    </w:rPr>
  </w:style>
  <w:style w:type="character" w:customStyle="1" w:styleId="PogrubienieTeksttreci115pt">
    <w:name w:val="Pogrubienie;Tekst treści + 11;5 pt"/>
    <w:rsid w:val="000B0F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Listapunktowana">
    <w:name w:val="List Bullet"/>
    <w:basedOn w:val="Normalny"/>
    <w:link w:val="ListapunktowanaZnak"/>
    <w:unhideWhenUsed/>
    <w:rsid w:val="000B0F6E"/>
    <w:pPr>
      <w:numPr>
        <w:numId w:val="1"/>
      </w:numPr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0B0F6E"/>
    <w:pPr>
      <w:numPr>
        <w:numId w:val="2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istapunktowanaZnak">
    <w:name w:val="Lista punktowana Znak"/>
    <w:link w:val="Listapunktowana"/>
    <w:rsid w:val="000B0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ica">
    <w:name w:val="Tablica"/>
    <w:basedOn w:val="Normalny"/>
    <w:next w:val="Normalny"/>
    <w:rsid w:val="000B0F6E"/>
    <w:pPr>
      <w:keepNext/>
      <w:keepLines/>
      <w:numPr>
        <w:ilvl w:val="12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2769</Words>
  <Characters>16620</Characters>
  <Application>Microsoft Office Word</Application>
  <DocSecurity>0</DocSecurity>
  <Lines>138</Lines>
  <Paragraphs>38</Paragraphs>
  <ScaleCrop>false</ScaleCrop>
  <Company/>
  <LinksUpToDate>false</LinksUpToDate>
  <CharactersWithSpaces>19351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Janina Wojda</dc:creator>
  <cp:keywords/>
  <dc:description/>
  <cp:lastModifiedBy>MZDW Janina Wojda</cp:lastModifiedBy>
  <cp:revision>7</cp:revision>
  <dcterms:created xsi:type="dcterms:W3CDTF">2023-02-13T12:44:00Z</dcterms:created>
  <dcterms:modified xsi:type="dcterms:W3CDTF">2024-11-28T08:32:00Z</dcterms:modified>
</cp:coreProperties>
</file>