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5D27658E"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86232C">
        <w:rPr>
          <w:b/>
          <w:sz w:val="20"/>
          <w:szCs w:val="20"/>
        </w:rPr>
        <w:t>8</w:t>
      </w:r>
      <w:r w:rsidRPr="000A24B8">
        <w:rPr>
          <w:b/>
          <w:sz w:val="20"/>
          <w:szCs w:val="20"/>
        </w:rPr>
        <w:t xml:space="preserve"> cm </w:t>
      </w:r>
      <w:r w:rsidRPr="000A24B8">
        <w:rPr>
          <w:sz w:val="20"/>
          <w:szCs w:val="20"/>
        </w:rPr>
        <w:t xml:space="preserve">dla zadania </w:t>
      </w:r>
      <w:r w:rsidRPr="001010CF">
        <w:rPr>
          <w:rStyle w:val="PogrubienieTeksttreci115pt"/>
          <w:sz w:val="20"/>
          <w:szCs w:val="20"/>
        </w:rPr>
        <w:t>„</w:t>
      </w:r>
      <w:r w:rsidR="0086232C" w:rsidRPr="0086232C">
        <w:rPr>
          <w:rFonts w:cs="Times New Roman"/>
          <w:b/>
          <w:bCs/>
          <w:color w:val="000000"/>
          <w:sz w:val="20"/>
          <w:szCs w:val="20"/>
        </w:rPr>
        <w:t>ROZBUDOWA DW NR 731 NA ODCINKU OD KM 24+485 DO KM 24+702 NA TERENIE GMINY WARKA (MICHAŁÓW PARCELE)</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86232C"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Kategoria ruchu – obciążenie drogi ruchem samochodowym, wyrażone w osiach obliczeniowych (100 kN)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połączenia rożnych warstw ze sobą lub tych samych warstw wykonywanych w rożnym czasie niebędących połączeniem międzywarstwowym.</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86232C"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polimeroasfalt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 wielorodzajowy (ang. multigrade)</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 użytkowa nie określana (ang. No Performance Determined;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zadeklarowania (ang. To Be Reported;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międzynarodowy wskaźnik równości (ang. International Roughness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Należy stosować asfalty drogowe wg PN-EN 12591 [24],  polimeroasfalty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lepiszcz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Polimeroasfalty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Jed-nostka</w:t>
            </w:r>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 Fraassa,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w:t>
            </w:r>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(polimeroasfaltów)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Jed-nostka</w:t>
            </w:r>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Konsystencja w pośrednich temperaturach eksploatacyj-nych</w:t>
            </w:r>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Konsystencja  w wysokich  temp. eksplo-atacyjnych</w:t>
            </w:r>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Wahadło Vialit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Determined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Reported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 Fraassa</w:t>
            </w:r>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w:t>
            </w:r>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polimeroasfaltu: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mma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przekruszonej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Procentowa zawartość ziaren o powierzchni przekruszonej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Właściwości lepiszcza odzyskanego w granulacie asfaltowym</w:t>
            </w:r>
            <w:r w:rsidRPr="000A24B8">
              <w:rPr>
                <w:rFonts w:ascii="Times New Roman" w:eastAsia="Times New Roman" w:hAnsi="Times New Roman"/>
                <w:sz w:val="20"/>
                <w:szCs w:val="20"/>
                <w:vertAlign w:val="superscript"/>
                <w:lang w:eastAsia="pl-PL"/>
              </w:rPr>
              <w:t>a)</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 sklasyfikowania lepiszcza odzyskanego w granulacie asfaltowym wystarcza oznaczenie temperatury mięknienia PiK. Tylko w szczególnych przypadkach należy wykonać oznaczenie penetracji. Oceny właściwości lepiszcza należy dokonać wg pktu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Materiały obce</w:t>
            </w:r>
            <w:r w:rsidRPr="000A24B8">
              <w:rPr>
                <w:rFonts w:ascii="Times New Roman" w:eastAsia="Times New Roman" w:hAnsi="Times New Roman"/>
                <w:sz w:val="20"/>
                <w:szCs w:val="20"/>
                <w:vertAlign w:val="superscript"/>
                <w:lang w:eastAsia="pl-PL"/>
              </w:rPr>
              <w:t>a)</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PiKmix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 b       - udział masowy: lepiszcza z granulatu asfaltowego (a) i dodanego lepiszcza (b), przy a+b=1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(T</w:t>
            </w:r>
            <w:r w:rsidRPr="000A24B8">
              <w:rPr>
                <w:rFonts w:ascii="Times New Roman" w:eastAsia="Times New Roman" w:hAnsi="Times New Roman"/>
                <w:sz w:val="20"/>
                <w:szCs w:val="20"/>
                <w:vertAlign w:val="subscript"/>
                <w:lang w:eastAsia="pl-PL"/>
              </w:rPr>
              <w:t>roż</w:t>
            </w:r>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mma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Dopuszcza się użycie granulatu asfaltowego w metodzie „na zimno”  (bez wstępnego ogrzewania) w ilości do 20% masy mieszanki mineralno-asfaltowej na podstawie wykazania spełnienia wymagań podanych powyżej oraz spełniania właściwości mma.</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PiK</w:t>
            </w:r>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PiK</w:t>
            </w:r>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PiK</w:t>
            </w:r>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Próbki powinny spełniać wymagania podane w tablicach 21, 22 i 23, w zależności od kategorii ruchu jak i zawartości asfaltu B</w:t>
      </w:r>
      <w:r w:rsidRPr="000A24B8">
        <w:rPr>
          <w:rFonts w:ascii="Times New Roman" w:eastAsia="Times New Roman" w:hAnsi="Times New Roman"/>
          <w:sz w:val="20"/>
          <w:szCs w:val="20"/>
          <w:vertAlign w:val="subscript"/>
          <w:lang w:eastAsia="pl-PL"/>
        </w:rPr>
        <w:t>min</w:t>
      </w:r>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649745"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649746"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c)procedurę kondycjonowania krótkoterminowego mma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procedurę kondycjonowania krótkoterminowego mma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lekka rozsypywarka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Asfalt i polimeroasfalt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pkcie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Asfalt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Asfalt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Na podłożu wykazującym zniszczenia w postaci siatki spękań zmęczeniowych lub spękań poprzecznych zaleca się stosowanie membrany przeciwspękaniowej, np. mieszanki mineralno-asfaltowej, warstwy SAMI lub z geosyntetyków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Nie dopuszcza się oceniania dokładności pracy otaczarki oraz prawidłowości składu mieszanki mineralnej na podstawie tzw. suchego zarobu,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czasie wykonywania zarobu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zarobu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zarobu stanowi podstawę do wykonania przez Wykonawcę odcinka próbnego. Za zgodą Inżyniera można połączyć wykonanie próby technologicznej z wykonaniem odcinka próbnego. W takim przypadku zaleca się pobrać próbki mieszanki mineralno-asfaltowej do badań zza rozściełacza, wg pktu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5.7. Połączenie międzywarstwowe</w:t>
      </w:r>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Warunki wykonania połączenia międzywarstwowego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międzywarstwowego.</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Wcześniej wykonany pas warstwy technologicznej powinien mieć wyprofilowaną krawędź równomiernie zagęszczoną, bez pęknięć. Krawędź ta nie może być pionowa, lecz powinna być skośna (pochylenie około 3:1 tj.pod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warstw nawierzchni bez urządzeń ograniczających (np. krawężników) krawędziom należy nadać spadki o nachyleniu nie większym niż 2:1, przy pomocy rolki dociskowej mocowanej do walca lub elementu mocowanego do rozkładarki tzw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wytwórni produkującej mieszankę mineralno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łącznie z VFB i VMA przy wyma-ganej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objętościowa wg PN-EN 12697-6 [36], metoda B, w stanie nasyconym powierzch-niowo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(powiązana funkcjonalnie), dotyczy betonu asfaltowego zaprojekto-wanego do maksymalnego obcią-żenia osi poniżej 130 kN</w:t>
            </w:r>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kategorii kruszywa grubego, jak definiowano w PN-EN 13043 [50], jednej z następujących właściwości: kształtu, udziału ziaren częściowo przekruszonych,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czasie wytwarzania mieszanki mineralno–asfaltowej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Wyniki badań Wykonawcy należy przekazywać Inżynierowi na jego żądanie. Inżynier może zdecydować o dokonaniu odbioru na podstawie badań Wykonawcy. W razie zastrzeżeń Inżynier może przeprowadzić badania kontrolne według pktu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równości warstwy asfaltowej (wg pktu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Wypełniacz i kruszywa powinny spełniać wymagania podane w pkcie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powinny spełniać wymagania podane w pkcie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Materiały do uszczelniania połączeń powinny spełniać wymagania podane w pkcie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w składzie mieszanki mineralno-asfaltowej jest grantulat asfaltowy, to temperatura mięknienia wyekstrahowanego lepiszcza nie może przekroczyć temperatur mięknienia T</w:t>
      </w:r>
      <w:r w:rsidRPr="000A24B8">
        <w:rPr>
          <w:rFonts w:ascii="Times New Roman" w:eastAsia="Times New Roman" w:hAnsi="Times New Roman"/>
          <w:sz w:val="20"/>
          <w:szCs w:val="20"/>
          <w:vertAlign w:val="subscript"/>
          <w:lang w:eastAsia="pl-PL"/>
        </w:rPr>
        <w:t>R&amp;Bmix</w:t>
      </w:r>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polimeroasfaltu wyekstrahowanego z mieszanki mineralno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Najwyższa temperatura mięknienia wyekstrahowanego polimeroasfaltu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gdy dostarczony na wytwornię polimeroasfalt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sposob:</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dopuszczalna temperatura mięknienia wyekstrahowanego polimeroasfaltu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wypadku mieszanki mineralno-asfaltowej z polimeroasfaltem nawrot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próbce Marshalla pobranej z mieszanki mineralno-asfaltowej lub wyjątkowo powtórnie rozgrzanej próbki pobranej z nawierzchni nie może wykroczyć poza wartości podane w pkcie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Pakiet: warstwa ścieralna+wiążąca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międzywarstwowa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podłużnej podbudowy nawierzchni dróg wszystkich klas należy stosować metodę pomiaru ciągłego równoważną użyciu łaty i klina np. z wykorzystaniem planografu,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planografu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dla warstwy oznaczone pomiarem ciągłym równoważnym użyciu łaty i klina np. z wykorzystaniem planografu,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Szerokość warstwy, mierzona 10 razy na 1 km każdej jezdni powinna być zgodna z dokumentacją projektową, z tolerancją  w zakresie od 0 do +5 cm, przy czym szerokość warstwy podbudowyj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Wygląd zewnętrzny warstwy, sprawdzony wizualnie, powinien być jednorodny, bez spękań, deformacji, plam i wykruszeń.</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uznaje się za wykonane zgodnie z dokumentacją projektową, ST i wymaganiami Inżyniera, jeżeli wszystkie pomiary i badania z zachowaniem tolerancji według pktu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Połączenie międzywarstwowe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3: Oznaczanie kształtu ziarn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4: Oznaczanie kształtu ziarn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Oznaczanie procentowej zawartości ziarn o powierzchniach powstałych w wyniku przekruszenia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–Część 6: Oznaczanie gęstości ziarn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łamliwości Fraassa</w:t>
            </w:r>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siły rozciągania asfaltów modyfikowanych – Metoda z duktylometrem</w:t>
            </w:r>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Prüfung von Bitumen- und Polymerbitumenbahnen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Ustawa z dnia 19 sierpnia 2011 r. o przewozie drogowym towarów niebezpiecznych (Dz.U. nr 227, poz. 1367 z późn.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3C1AA9"/>
    <w:rsid w:val="003F1516"/>
    <w:rsid w:val="00462DDD"/>
    <w:rsid w:val="0051305E"/>
    <w:rsid w:val="00541E8D"/>
    <w:rsid w:val="005E239B"/>
    <w:rsid w:val="0086232C"/>
    <w:rsid w:val="008B1032"/>
    <w:rsid w:val="00AE6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31</Pages>
  <Words>14897</Words>
  <Characters>89387</Characters>
  <Application>Microsoft Office Word</Application>
  <DocSecurity>0</DocSecurity>
  <Lines>744</Lines>
  <Paragraphs>208</Paragraphs>
  <ScaleCrop>false</ScaleCrop>
  <Company/>
  <LinksUpToDate>false</LinksUpToDate>
  <CharactersWithSpaces>104076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8</cp:revision>
  <dcterms:created xsi:type="dcterms:W3CDTF">2023-02-13T12:40:00Z</dcterms:created>
  <dcterms:modified xsi:type="dcterms:W3CDTF">2024-12-02T12:03:00Z</dcterms:modified>
</cp:coreProperties>
</file>