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0A206" w14:textId="77777777" w:rsidR="004879CE" w:rsidRDefault="00584556">
      <w:pPr>
        <w:spacing w:line="240" w:lineRule="auto"/>
        <w:ind w:firstLine="142"/>
        <w:jc w:val="center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1" wp14:anchorId="595383AB" wp14:editId="73EF27A9">
            <wp:simplePos x="0" y="0"/>
            <wp:positionH relativeFrom="margin">
              <wp:posOffset>1514475</wp:posOffset>
            </wp:positionH>
            <wp:positionV relativeFrom="page">
              <wp:posOffset>414655</wp:posOffset>
            </wp:positionV>
            <wp:extent cx="2510790" cy="714375"/>
            <wp:effectExtent l="0" t="0" r="0" b="0"/>
            <wp:wrapTopAndBottom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4"/>
          <w:szCs w:val="24"/>
        </w:rPr>
        <w:t>D/15/2025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załącznik nr 1.3</w:t>
      </w:r>
    </w:p>
    <w:p w14:paraId="4874B179" w14:textId="77777777" w:rsidR="004879CE" w:rsidRDefault="00584556">
      <w:pPr>
        <w:spacing w:after="360"/>
        <w:jc w:val="center"/>
        <w:rPr>
          <w:rFonts w:cstheme="minorHAnsi"/>
          <w:b/>
          <w:caps/>
          <w:sz w:val="24"/>
          <w:szCs w:val="24"/>
        </w:rPr>
      </w:pPr>
      <w:r>
        <w:rPr>
          <w:rFonts w:cstheme="minorHAnsi"/>
          <w:b/>
          <w:caps/>
          <w:sz w:val="24"/>
          <w:szCs w:val="24"/>
        </w:rPr>
        <w:t>Opis przedmiotu zamówienia</w:t>
      </w:r>
    </w:p>
    <w:p w14:paraId="3FC93B02" w14:textId="77777777" w:rsidR="004879CE" w:rsidRDefault="004879CE">
      <w:pPr>
        <w:spacing w:line="240" w:lineRule="auto"/>
        <w:ind w:firstLine="142"/>
        <w:jc w:val="right"/>
        <w:rPr>
          <w:rFonts w:cstheme="minorHAnsi"/>
          <w:sz w:val="24"/>
          <w:szCs w:val="24"/>
        </w:rPr>
      </w:pPr>
    </w:p>
    <w:p w14:paraId="25E9A394" w14:textId="77777777" w:rsidR="004879CE" w:rsidRDefault="00584556">
      <w:pPr>
        <w:spacing w:after="0" w:line="240" w:lineRule="auto"/>
        <w:jc w:val="center"/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sz w:val="24"/>
          <w:szCs w:val="24"/>
        </w:rPr>
        <w:t xml:space="preserve">Przedmiot zamówienia: </w:t>
      </w:r>
      <w:r>
        <w:rPr>
          <w:rFonts w:cstheme="minorHAnsi"/>
          <w:b/>
          <w:sz w:val="24"/>
          <w:szCs w:val="24"/>
          <w:lang w:eastAsia="pl-PL"/>
        </w:rPr>
        <w:t>„Zakup i dostawa urządzeń aktywnych na potrzeby Centrum Nowoczesnych Technologii Uniwersytetu Opolskiego.”</w:t>
      </w:r>
    </w:p>
    <w:p w14:paraId="0F35352B" w14:textId="77777777" w:rsidR="004879CE" w:rsidRDefault="004879CE">
      <w:pPr>
        <w:pStyle w:val="Nagwek"/>
        <w:pBdr>
          <w:bottom w:val="thickThinSmallGap" w:sz="24" w:space="9" w:color="800000"/>
        </w:pBdr>
        <w:spacing w:before="0" w:after="0"/>
        <w:rPr>
          <w:rFonts w:asciiTheme="minorHAnsi" w:hAnsiTheme="minorHAnsi" w:cstheme="minorHAnsi"/>
          <w:b/>
          <w:i/>
          <w:sz w:val="24"/>
          <w:szCs w:val="24"/>
        </w:rPr>
      </w:pPr>
    </w:p>
    <w:p w14:paraId="07456247" w14:textId="45C31F85" w:rsidR="004879CE" w:rsidRDefault="00584556">
      <w:pPr>
        <w:spacing w:line="240" w:lineRule="auto"/>
        <w:jc w:val="left"/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sz w:val="24"/>
          <w:szCs w:val="24"/>
        </w:rPr>
        <w:t xml:space="preserve">część nr 3, pn.: </w:t>
      </w:r>
      <w:r>
        <w:rPr>
          <w:rFonts w:cstheme="minorHAnsi"/>
          <w:b/>
          <w:i/>
          <w:sz w:val="24"/>
          <w:szCs w:val="24"/>
        </w:rPr>
        <w:t>„</w:t>
      </w:r>
      <w:r w:rsidRPr="00584556">
        <w:rPr>
          <w:rFonts w:cstheme="minorHAnsi"/>
          <w:b/>
          <w:i/>
          <w:sz w:val="24"/>
          <w:szCs w:val="24"/>
        </w:rPr>
        <w:t>Zakup i dostawa serwerów pamięci masowej – 2 szt.</w:t>
      </w:r>
      <w:r>
        <w:rPr>
          <w:rFonts w:cstheme="minorHAnsi"/>
          <w:b/>
          <w:i/>
          <w:sz w:val="24"/>
          <w:szCs w:val="24"/>
        </w:rPr>
        <w:t>”</w:t>
      </w:r>
    </w:p>
    <w:p w14:paraId="0BD8055A" w14:textId="77777777" w:rsidR="004879CE" w:rsidRDefault="004879CE">
      <w:pPr>
        <w:spacing w:line="240" w:lineRule="auto"/>
        <w:jc w:val="left"/>
        <w:rPr>
          <w:rFonts w:cstheme="minorHAnsi"/>
          <w:b/>
          <w:sz w:val="24"/>
          <w:szCs w:val="24"/>
          <w:lang w:val="en-US"/>
        </w:rPr>
      </w:pPr>
    </w:p>
    <w:tbl>
      <w:tblPr>
        <w:tblStyle w:val="Tabela-EleganckiAW"/>
        <w:tblW w:w="9333" w:type="dxa"/>
        <w:tblLayout w:type="fixed"/>
        <w:tblLook w:val="00A0" w:firstRow="1" w:lastRow="0" w:firstColumn="1" w:lastColumn="0" w:noHBand="0" w:noVBand="0"/>
      </w:tblPr>
      <w:tblGrid>
        <w:gridCol w:w="544"/>
        <w:gridCol w:w="1558"/>
        <w:gridCol w:w="7231"/>
      </w:tblGrid>
      <w:tr w:rsidR="004879CE" w14:paraId="51A5D05D" w14:textId="77777777" w:rsidTr="6BE7D1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44" w:type="dxa"/>
            <w:tcBorders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79521313" w14:textId="77777777" w:rsidR="004879CE" w:rsidRDefault="00584556">
            <w:pPr>
              <w:spacing w:line="240" w:lineRule="auto"/>
              <w:ind w:hanging="3"/>
              <w:jc w:val="left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caps w:val="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8789" w:type="dxa"/>
            <w:gridSpan w:val="2"/>
            <w:tcBorders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F2F2F2" w:themeFill="background1" w:themeFillShade="F2"/>
          </w:tcPr>
          <w:p w14:paraId="5CB2C7BF" w14:textId="77777777" w:rsidR="004879CE" w:rsidRDefault="00584556">
            <w:pPr>
              <w:spacing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Parametry wymagane przez zamawiającego</w:t>
            </w:r>
          </w:p>
        </w:tc>
      </w:tr>
      <w:tr w:rsidR="004879CE" w14:paraId="40A521D4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613761CA" w14:textId="77777777" w:rsidR="004879CE" w:rsidRDefault="004879CE">
            <w:pPr>
              <w:pStyle w:val="Akapitzlist"/>
              <w:numPr>
                <w:ilvl w:val="0"/>
                <w:numId w:val="2"/>
              </w:numPr>
              <w:tabs>
                <w:tab w:val="left" w:pos="154"/>
              </w:tabs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24AF72B4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Obudowa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9D02194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Obudowa do montażu w szafie </w:t>
            </w:r>
            <w:proofErr w:type="spellStart"/>
            <w:r>
              <w:rPr>
                <w:rFonts w:cstheme="minorHAnsi"/>
                <w:sz w:val="24"/>
                <w:szCs w:val="24"/>
              </w:rPr>
              <w:t>rack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19” za pomocą dostarczonych dedykowanych elementów. Oferowany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nie może przekroczyć rozmiaru 4U. Oferowana obudowa musi umożliwiać instalację min 24 dysków.</w:t>
            </w:r>
          </w:p>
        </w:tc>
      </w:tr>
      <w:tr w:rsidR="004879CE" w14:paraId="511BD85A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1A0F8D9F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61B8CACD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Kontrolery dyskowe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949039A" w14:textId="0D383E6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wyposażony w minimum 2 kontrolery pracujące w trybie </w:t>
            </w:r>
            <w:proofErr w:type="spellStart"/>
            <w:r>
              <w:rPr>
                <w:rFonts w:cstheme="minorHAnsi"/>
                <w:sz w:val="24"/>
                <w:szCs w:val="24"/>
              </w:rPr>
              <w:t>active-active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Akceptowalna architektura to </w:t>
            </w:r>
            <w:proofErr w:type="spellStart"/>
            <w:r>
              <w:rPr>
                <w:rFonts w:cstheme="minorHAnsi"/>
                <w:sz w:val="24"/>
                <w:szCs w:val="24"/>
              </w:rPr>
              <w:t>symmetric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active-active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(SAN-</w:t>
            </w:r>
            <w:proofErr w:type="spellStart"/>
            <w:r>
              <w:rPr>
                <w:rFonts w:cstheme="minorHAnsi"/>
                <w:sz w:val="24"/>
                <w:szCs w:val="24"/>
              </w:rPr>
              <w:t>only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), co oznacza, że kontrolery pracują w trybie zapewniającym dostęp do </w:t>
            </w:r>
            <w:r w:rsidRPr="00584556">
              <w:rPr>
                <w:rFonts w:cstheme="minorHAnsi"/>
                <w:sz w:val="24"/>
                <w:szCs w:val="24"/>
              </w:rPr>
              <w:t xml:space="preserve">wolumenów logicznych (LUN) utworzonych w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serwerze</w:t>
            </w:r>
            <w:proofErr w:type="spellEnd"/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>, z wykorzystaniem wszystkich dostępnych ścieżek (</w:t>
            </w:r>
            <w:proofErr w:type="spellStart"/>
            <w:r w:rsidRPr="00584556">
              <w:rPr>
                <w:rFonts w:cstheme="minorHAnsi"/>
                <w:sz w:val="24"/>
                <w:szCs w:val="24"/>
              </w:rPr>
              <w:t>path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>) i portów kontrolerów bez wymuszania preferowanej ścieżki dostępu oraz z zapewnieniem automatycznego równoważenia obciążenia (</w:t>
            </w:r>
            <w:proofErr w:type="spellStart"/>
            <w:r w:rsidRPr="00584556">
              <w:rPr>
                <w:rFonts w:cstheme="minorHAnsi"/>
                <w:sz w:val="24"/>
                <w:szCs w:val="24"/>
              </w:rPr>
              <w:t>load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84556">
              <w:rPr>
                <w:rFonts w:cstheme="minorHAnsi"/>
                <w:sz w:val="24"/>
                <w:szCs w:val="24"/>
              </w:rPr>
              <w:t>balancing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). Kontrolery nie mogą pracować w trybie </w:t>
            </w:r>
            <w:proofErr w:type="spellStart"/>
            <w:r w:rsidRPr="00584556">
              <w:rPr>
                <w:rFonts w:cstheme="minorHAnsi"/>
                <w:sz w:val="24"/>
                <w:szCs w:val="24"/>
              </w:rPr>
              <w:t>active-passive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. Kontrolery muszą komunikować się z dyskami protokołem </w:t>
            </w:r>
            <w:proofErr w:type="spellStart"/>
            <w:r w:rsidRPr="00584556">
              <w:rPr>
                <w:rFonts w:cstheme="minorHAnsi"/>
                <w:sz w:val="24"/>
                <w:szCs w:val="24"/>
              </w:rPr>
              <w:t>NVMe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. </w:t>
            </w:r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umożliwiać rozbudowę do co najmniej 4 kontrolerów tworząc logicznie jeden s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zarządzany z jednego interfejsu. Zastosowanie </w:t>
            </w:r>
            <w:proofErr w:type="spellStart"/>
            <w:r>
              <w:rPr>
                <w:rFonts w:cstheme="minorHAnsi"/>
                <w:sz w:val="24"/>
                <w:szCs w:val="24"/>
              </w:rPr>
              <w:t>wirtualizatora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nie jest dopuszczalne.</w:t>
            </w:r>
          </w:p>
        </w:tc>
      </w:tr>
      <w:tr w:rsidR="004879CE" w14:paraId="192E33FC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3447D162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42386A87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Zasilanie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95B934A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Oferowane urządzenie musi być przystosowane do zasilania z sieci AC oraz wyposażone w kable zasilające PDU.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być wyposażony w zdublowany, redundantny system zasilania, umożliwiający prawidłową, nieprzerwaną pracę urządzenia w przypadku awarii dowolnego pojedynczego źródła zasilania.</w:t>
            </w:r>
          </w:p>
        </w:tc>
      </w:tr>
      <w:tr w:rsidR="004879CE" w14:paraId="266410B9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1C8D0392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68CEB447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Redundancja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CE7097E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nie może posiadać pojedynczego punktu awarii (SPOF), który powodowałby brak dostępu do danych. Wszystkie krytyczne komponenty takie jak kontrolery, pamięć, zasilacze i wentylatory muszą być zaprojektowane nadmiarowo.</w:t>
            </w:r>
          </w:p>
        </w:tc>
      </w:tr>
      <w:tr w:rsidR="004879CE" w14:paraId="24E2DDA4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67E25CE6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7212DFA2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Wydajność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91A4243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w oferowanej konfiguracji w teście wydajnościowym osiągnie min. 230 000 IOPS przy następujących parametrach:</w:t>
            </w:r>
          </w:p>
          <w:p w14:paraId="5F6CDA48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Zapełnienie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– min. 80% fizycznej pojemności,</w:t>
            </w:r>
          </w:p>
          <w:p w14:paraId="6DFEE31B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Protokół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>: iSCSI,</w:t>
            </w:r>
          </w:p>
          <w:p w14:paraId="665B72AD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- Porty: 25G,</w:t>
            </w:r>
          </w:p>
          <w:p w14:paraId="5D4B3807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- Read 80% -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blok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8k,</w:t>
            </w:r>
          </w:p>
          <w:p w14:paraId="29B154F0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- Write 20% -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blok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8k,</w:t>
            </w:r>
          </w:p>
          <w:p w14:paraId="13144059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- 100% Random</w:t>
            </w:r>
          </w:p>
          <w:p w14:paraId="0AF562EA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- Read Hit Ratio – 0%</w:t>
            </w:r>
          </w:p>
          <w:p w14:paraId="02E0508D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- Write Hit Ratio – 0%</w:t>
            </w:r>
          </w:p>
          <w:p w14:paraId="727EE4C5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cstheme="minorHAnsi"/>
                <w:sz w:val="24"/>
                <w:szCs w:val="24"/>
              </w:rPr>
              <w:t>Latency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– poniżej 1ms</w:t>
            </w:r>
          </w:p>
          <w:p w14:paraId="091B5893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RAID 6 (lub równoważny)</w:t>
            </w:r>
          </w:p>
          <w:p w14:paraId="7921C54F" w14:textId="77777777" w:rsidR="004879CE" w:rsidRDefault="00584556">
            <w:pPr>
              <w:pStyle w:val="Akapitzlist"/>
              <w:spacing w:line="240" w:lineRule="auto"/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Deduplikacja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i kompresja – włączone </w:t>
            </w:r>
            <w:proofErr w:type="spellStart"/>
            <w:r>
              <w:rPr>
                <w:rFonts w:cstheme="minorHAnsi"/>
                <w:sz w:val="24"/>
                <w:szCs w:val="24"/>
              </w:rPr>
              <w:t>włączone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dedupratio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=2, </w:t>
            </w:r>
            <w:proofErr w:type="spellStart"/>
            <w:r>
              <w:rPr>
                <w:rFonts w:cstheme="minorHAnsi"/>
                <w:sz w:val="24"/>
                <w:szCs w:val="24"/>
              </w:rPr>
              <w:t>compratio</w:t>
            </w:r>
            <w:proofErr w:type="spellEnd"/>
            <w:r>
              <w:rPr>
                <w:rFonts w:cstheme="minorHAnsi"/>
                <w:sz w:val="24"/>
                <w:szCs w:val="24"/>
              </w:rPr>
              <w:t>=2)</w:t>
            </w:r>
          </w:p>
          <w:p w14:paraId="1F9B5399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Zamawiający ma prawo przeprowadzić test po dostawie s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aby sprawdzić czy dostarczone rozwiązanie osiąga deklarowane parametry wydajnościowe. Wydajność średnia nie mniejsza niż 230 000 IOPS uzyskiwana przez co najmniej 180 min testu. </w:t>
            </w:r>
            <w:r>
              <w:rPr>
                <w:rFonts w:cstheme="minorHAnsi"/>
                <w:iCs/>
                <w:sz w:val="24"/>
                <w:szCs w:val="24"/>
              </w:rPr>
              <w:t>Środowisko testowe – serwery wirtualne.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Ewentualny test zostanie przeprowadzony ogólnodostępnym narzędziem </w:t>
            </w:r>
            <w:proofErr w:type="spellStart"/>
            <w:r>
              <w:rPr>
                <w:rFonts w:cstheme="minorHAnsi"/>
                <w:sz w:val="24"/>
                <w:szCs w:val="24"/>
              </w:rPr>
              <w:t>Vdbench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879CE" w14:paraId="3C69C17E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2E5D93E0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56FED429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Wymagana przestrzeń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91E164B" w14:textId="77777777" w:rsidR="004879CE" w:rsidRDefault="00584556">
            <w:pPr>
              <w:spacing w:line="240" w:lineRule="auto"/>
              <w:rPr>
                <w:rFonts w:cstheme="minorHAnsi"/>
                <w:color w:val="FF0000"/>
                <w:sz w:val="24"/>
                <w:szCs w:val="24"/>
                <w:highlight w:val="yellow"/>
              </w:rPr>
            </w:pPr>
            <w:r>
              <w:rPr>
                <w:rFonts w:cstheme="minorHAnsi"/>
                <w:sz w:val="24"/>
                <w:szCs w:val="24"/>
              </w:rPr>
              <w:t xml:space="preserve">Fizyczna przestrzeń dyskowa zbudowana tylko i wyłącznie za pomocą  dysków SSD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/modułów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>. Przestrzeń użytkowa po zbudowaniu RAID 6 (lub równoważnym) z 1 dyskiem/modułem hot-</w:t>
            </w:r>
            <w:proofErr w:type="spellStart"/>
            <w:r>
              <w:rPr>
                <w:rFonts w:cstheme="minorHAnsi"/>
                <w:sz w:val="24"/>
                <w:szCs w:val="24"/>
              </w:rPr>
              <w:t>spare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lub przestrzenią hot-</w:t>
            </w:r>
            <w:proofErr w:type="spellStart"/>
            <w:r>
              <w:rPr>
                <w:rFonts w:cstheme="minorHAnsi"/>
                <w:sz w:val="24"/>
                <w:szCs w:val="24"/>
              </w:rPr>
              <w:t>spare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równą pojemności 1 dysku/modułu musi wynosić min 120 TB.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Ze względów wydajnościowych oraz niezawodnościowych pojemność RAW pojedynczego dysku/modułu nie może być większa niż 8 TB</w:t>
            </w:r>
          </w:p>
          <w:p w14:paraId="6249F637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jest dozwolone użycie dysków z chipsetem QLC ze względu na ich krótszą żywotność i dłuższe czasy odpowiedzi.</w:t>
            </w:r>
          </w:p>
          <w:p w14:paraId="4A7773F2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Wymagana pojemność użytkowa rozumiana jest jako pojemność dostępna po konfiguracji RAID i odliczeniu rezerwy na dyski/przestrzeń </w:t>
            </w:r>
            <w:proofErr w:type="spellStart"/>
            <w:r>
              <w:rPr>
                <w:rFonts w:cstheme="minorHAnsi"/>
                <w:i/>
                <w:iCs/>
                <w:color w:val="000000"/>
                <w:sz w:val="24"/>
                <w:szCs w:val="24"/>
              </w:rPr>
              <w:t>spare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 xml:space="preserve"> i dostępna dla hostów bez uwzględnienia jakichkolwiek mechanizmów kompresji, czy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deduplikacji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  <w:r>
              <w:rPr>
                <w:rFonts w:cstheme="minorHAnsi"/>
                <w:sz w:val="24"/>
                <w:szCs w:val="24"/>
              </w:rPr>
              <w:t xml:space="preserve">Dyski SSD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/moduły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muszą być wyposażone w podwójne, redundantne interfejsy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PCIe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  <w:p w14:paraId="63A7EE31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Oferowany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umożliwiać rozbudowę do min 48 dysków tego samego typu, czyli SSD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/modułów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bez konieczności </w:t>
            </w:r>
            <w:proofErr w:type="spellStart"/>
            <w:r>
              <w:rPr>
                <w:rFonts w:cstheme="minorHAnsi"/>
                <w:sz w:val="24"/>
                <w:szCs w:val="24"/>
              </w:rPr>
              <w:t>klastrowania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dodatkowych kontrolerów. Rozbudowa pojemności musi być możliwa poprzez instalację dysków w ramach oferowanej obudowy kontrolerów lub poprzez podłączanie półek dyskowych obsługujących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Rozbudowa nie może odbywać się poprzez instalację dodatkowych kontrolerów.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Przez dodatkowe kontrolery Zamawiający rozumie elementy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wymagające podłączenia swoich portów do sieci FC/ISCSI/IP w celu realizacji operacji I/O natomiast półki dyskowe wymagają tylko podłączenia do </w:t>
            </w:r>
            <w:proofErr w:type="spellStart"/>
            <w:r>
              <w:rPr>
                <w:rFonts w:cstheme="minorHAnsi"/>
                <w:color w:val="000000" w:themeColor="text1"/>
                <w:sz w:val="24"/>
                <w:szCs w:val="24"/>
              </w:rPr>
              <w:t>back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-end kontrolerów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bez konieczności wykorzystania portów typu front-end. W przypadku rozbudowy poprzez półkę dyskową </w:t>
            </w:r>
            <w:r>
              <w:rPr>
                <w:rFonts w:cstheme="minorHAnsi"/>
                <w:sz w:val="24"/>
                <w:szCs w:val="24"/>
              </w:rPr>
              <w:t xml:space="preserve">wymagane jest zastosowanie wydajnego linku 100G RDMA (co najmniej 2) pomiędzy kontrolerami oraz półką dyskową, co zapewni możliwie najwyższą przepustowość oraz krótkie czasy odpowiedzi.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nie może obsługiwać dysków HDD.</w:t>
            </w:r>
          </w:p>
        </w:tc>
      </w:tr>
      <w:tr w:rsidR="004879CE" w14:paraId="0A4B65E5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4030C3A2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29CDF4EB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Zabezpieczenia dyskami SPARE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D39B7C2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Możliwość definiowania przez administratora dysków SPARE lub odpowiedniej zapasowej przestrzeni dyskowej.</w:t>
            </w:r>
          </w:p>
        </w:tc>
      </w:tr>
      <w:tr w:rsidR="004879CE" w14:paraId="0B2542D2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0990C28F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11849C8D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Pamięć Cache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7769455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 najmniej 256GB pamięci cache na cały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(dwa kontrolery). Zamawiający  nie  dopuszcza  możliwości  zastosowania dysków SSD/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lub kart pamięci FLASH jako rozszerzenia pamięci cache. Pamięć cache musi być zabezpieczona przed utratą danych w przypadku awarii zasilania poprzez funkcję zapisu zawartości pamięci cache na nieulotną pamięć lub posiadać podtrzymywanie bateryjne min. 48 godzin.</w:t>
            </w:r>
          </w:p>
        </w:tc>
      </w:tr>
      <w:tr w:rsidR="004879CE" w14:paraId="4732B232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2F811FC6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07ACAC3A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Dostępne interfejsy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657D084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Razem kontrolery muszą udostępnić minimum 8 portów 25Gb </w:t>
            </w:r>
            <w:proofErr w:type="spellStart"/>
            <w:r>
              <w:rPr>
                <w:rFonts w:cstheme="minorHAnsi"/>
                <w:sz w:val="24"/>
                <w:szCs w:val="24"/>
              </w:rPr>
              <w:t>Eth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Wszystkie moduły muszą posiadać wkładki optyczne. Możliwość rozbudowy o dodatkowe 16 portów 32G FC oraz 4 porty 40G </w:t>
            </w:r>
            <w:proofErr w:type="spellStart"/>
            <w:r>
              <w:rPr>
                <w:rFonts w:cstheme="minorHAnsi"/>
                <w:sz w:val="24"/>
                <w:szCs w:val="24"/>
              </w:rPr>
              <w:t>Eth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tylko poprzez instalację kart sieciowych w oferowanym urządzeniu.</w:t>
            </w:r>
          </w:p>
          <w:p w14:paraId="71E70834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posiadać wbudowane porty 100G RDMA do podłączenia półek dyskowych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lub musi umożliwiać rozbudowę o takie porty w przypadku gdy obsługa wymaganych przy rozbudowie 48 dysków determinuje konieczność podłączenia dodatkowej półki.</w:t>
            </w:r>
          </w:p>
        </w:tc>
      </w:tr>
      <w:tr w:rsidR="004879CE" w14:paraId="098F24D0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7EEAF304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1679CBE7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Obsługiwane protokoły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DE459E1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Wymagane wsparcie dla FC, </w:t>
            </w:r>
            <w:proofErr w:type="spellStart"/>
            <w:r>
              <w:rPr>
                <w:rFonts w:cstheme="minorHAnsi"/>
                <w:sz w:val="24"/>
                <w:szCs w:val="24"/>
              </w:rPr>
              <w:t>iSCSI</w:t>
            </w:r>
            <w:proofErr w:type="spellEnd"/>
            <w:r>
              <w:rPr>
                <w:rFonts w:cstheme="minorHAnsi"/>
                <w:sz w:val="24"/>
                <w:szCs w:val="24"/>
              </w:rPr>
              <w:t>, NFS</w:t>
            </w:r>
            <w:r w:rsidR="009B2A2D">
              <w:rPr>
                <w:rFonts w:cstheme="minorHAnsi"/>
                <w:sz w:val="24"/>
                <w:szCs w:val="24"/>
              </w:rPr>
              <w:t>.</w:t>
            </w:r>
          </w:p>
          <w:p w14:paraId="3E47C8D5" w14:textId="114C9179" w:rsidR="009B2A2D" w:rsidRPr="006A64D6" w:rsidRDefault="009B2A2D">
            <w:pPr>
              <w:spacing w:line="240" w:lineRule="auto"/>
              <w:rPr>
                <w:rFonts w:cstheme="minorHAnsi"/>
                <w:color w:val="00B050"/>
                <w:sz w:val="24"/>
                <w:szCs w:val="24"/>
              </w:rPr>
            </w:pPr>
            <w:bookmarkStart w:id="0" w:name="_Hlk195181310"/>
            <w:r w:rsidRPr="006A64D6">
              <w:rPr>
                <w:rFonts w:cstheme="minorHAnsi"/>
                <w:color w:val="00B050"/>
                <w:sz w:val="24"/>
                <w:szCs w:val="24"/>
              </w:rPr>
              <w:t xml:space="preserve">Zamawiający po dostawie sprzętu zamierza korzystać tylko z protokołów FC oraz </w:t>
            </w:r>
            <w:proofErr w:type="spellStart"/>
            <w:r w:rsidRPr="006A64D6">
              <w:rPr>
                <w:rFonts w:cstheme="minorHAnsi"/>
                <w:color w:val="00B050"/>
                <w:sz w:val="24"/>
                <w:szCs w:val="24"/>
              </w:rPr>
              <w:t>iSCSI</w:t>
            </w:r>
            <w:proofErr w:type="spellEnd"/>
            <w:r w:rsidRPr="006A64D6">
              <w:rPr>
                <w:rFonts w:cstheme="minorHAnsi"/>
                <w:color w:val="00B050"/>
                <w:sz w:val="24"/>
                <w:szCs w:val="24"/>
              </w:rPr>
              <w:t xml:space="preserve">. </w:t>
            </w:r>
            <w:r w:rsidR="00BC2BF2" w:rsidRPr="006A64D6">
              <w:rPr>
                <w:rFonts w:cstheme="minorHAnsi"/>
                <w:color w:val="00B050"/>
                <w:sz w:val="24"/>
                <w:szCs w:val="24"/>
              </w:rPr>
              <w:t xml:space="preserve">W przypadku, gdy korzystanie z protokołów FC oraz </w:t>
            </w:r>
            <w:proofErr w:type="spellStart"/>
            <w:r w:rsidR="00BC2BF2" w:rsidRPr="006A64D6">
              <w:rPr>
                <w:rFonts w:cstheme="minorHAnsi"/>
                <w:color w:val="00B050"/>
                <w:sz w:val="24"/>
                <w:szCs w:val="24"/>
              </w:rPr>
              <w:t>iSCSI</w:t>
            </w:r>
            <w:proofErr w:type="spellEnd"/>
            <w:r w:rsidR="00BC2BF2" w:rsidRPr="006A64D6">
              <w:rPr>
                <w:rFonts w:cstheme="minorHAnsi"/>
                <w:color w:val="00B050"/>
                <w:sz w:val="24"/>
                <w:szCs w:val="24"/>
              </w:rPr>
              <w:t xml:space="preserve"> wymaga licencji</w:t>
            </w:r>
            <w:r w:rsidRPr="006A64D6">
              <w:rPr>
                <w:rFonts w:cstheme="minorHAnsi"/>
                <w:color w:val="00B050"/>
                <w:sz w:val="24"/>
                <w:szCs w:val="24"/>
              </w:rPr>
              <w:t>, Zamawiający wymaga ich dostarczenia w ramach dostawy.</w:t>
            </w:r>
          </w:p>
          <w:p w14:paraId="599022AD" w14:textId="3ADD21B3" w:rsidR="009B2A2D" w:rsidRPr="009B2A2D" w:rsidRDefault="009B2A2D" w:rsidP="6BE7D1E9">
            <w:pPr>
              <w:spacing w:line="240" w:lineRule="auto"/>
              <w:rPr>
                <w:rFonts w:cstheme="minorBidi"/>
                <w:color w:val="FF0000"/>
                <w:sz w:val="24"/>
                <w:szCs w:val="24"/>
              </w:rPr>
            </w:pPr>
            <w:r w:rsidRPr="006A64D6">
              <w:rPr>
                <w:rFonts w:cstheme="minorBidi"/>
                <w:color w:val="00B050"/>
                <w:sz w:val="24"/>
                <w:szCs w:val="24"/>
              </w:rPr>
              <w:t>Zamawiający nie wymaga dostarczenia licencji dla protokołu NFS, pod warunkiem</w:t>
            </w:r>
            <w:r w:rsidR="6F9873FE" w:rsidRPr="006A64D6">
              <w:rPr>
                <w:rFonts w:cstheme="minorBidi"/>
                <w:color w:val="00B050"/>
                <w:sz w:val="24"/>
                <w:szCs w:val="24"/>
              </w:rPr>
              <w:t>,</w:t>
            </w:r>
            <w:r w:rsidRPr="006A64D6">
              <w:rPr>
                <w:rFonts w:cstheme="minorBidi"/>
                <w:color w:val="00B050"/>
                <w:sz w:val="24"/>
                <w:szCs w:val="24"/>
              </w:rPr>
              <w:t xml:space="preserve"> że sprzęt będzie zapewniał możliwość jego obsług</w:t>
            </w:r>
            <w:r w:rsidR="00BC2BF2" w:rsidRPr="006A64D6">
              <w:rPr>
                <w:rFonts w:cstheme="minorBidi"/>
                <w:color w:val="00B050"/>
                <w:sz w:val="24"/>
                <w:szCs w:val="24"/>
              </w:rPr>
              <w:t>i</w:t>
            </w:r>
            <w:r w:rsidRPr="006A64D6">
              <w:rPr>
                <w:rFonts w:cstheme="minorBidi"/>
                <w:color w:val="00B050"/>
                <w:sz w:val="24"/>
                <w:szCs w:val="24"/>
              </w:rPr>
              <w:t xml:space="preserve"> zgodnie z wymaganiami OPZ.</w:t>
            </w:r>
            <w:bookmarkEnd w:id="0"/>
          </w:p>
        </w:tc>
      </w:tr>
      <w:tr w:rsidR="004879CE" w14:paraId="5EE313AE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5383EA7F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06C7E70D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Obsługiwane typy zabezpieczenia RAID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DF79A31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Kontrolery wyposażone w funkcjonalność konfiguracji poziomu RAID 6 lub równoważnego tolerującego jednoczesną awarię 2 dysków bez utraty danych.</w:t>
            </w:r>
          </w:p>
        </w:tc>
      </w:tr>
      <w:tr w:rsidR="004879CE" w14:paraId="1DC831FF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4876D7CC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124181EE" w14:textId="77777777" w:rsidR="004879CE" w:rsidRDefault="00584556">
            <w:pPr>
              <w:tabs>
                <w:tab w:val="left" w:pos="580"/>
              </w:tabs>
              <w:spacing w:line="240" w:lineRule="auto"/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Prezentacja dysków logicznych </w:t>
            </w:r>
            <w:r>
              <w:rPr>
                <w:rFonts w:cstheme="minorHAnsi"/>
                <w:sz w:val="24"/>
                <w:szCs w:val="24"/>
              </w:rPr>
              <w:br/>
              <w:t xml:space="preserve">o pojemności większej niż zajmowana przestrzeń dyskowa (ang. </w:t>
            </w:r>
            <w:proofErr w:type="spellStart"/>
            <w:r>
              <w:rPr>
                <w:rFonts w:cstheme="minorHAnsi"/>
                <w:sz w:val="24"/>
                <w:szCs w:val="24"/>
              </w:rPr>
              <w:t>Thin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Provisioning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622529C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Wymagana funkcjonalność tworzenia i prezentacji dysków logicznych (LUN) o pojemności większej niż zajmowana fizyczna przestrzeń dyskowych (ang. </w:t>
            </w:r>
            <w:proofErr w:type="spellStart"/>
            <w:r>
              <w:rPr>
                <w:rFonts w:cstheme="minorHAnsi"/>
                <w:sz w:val="24"/>
                <w:szCs w:val="24"/>
              </w:rPr>
              <w:t>ThinProvisioning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). Wymagana funkcjonalność zwrotu skasowanej przestrzeni dyskowej do puli zasobów wspólnych (ang. Space </w:t>
            </w:r>
            <w:proofErr w:type="spellStart"/>
            <w:r>
              <w:rPr>
                <w:rFonts w:cstheme="minorHAnsi"/>
                <w:sz w:val="24"/>
                <w:szCs w:val="24"/>
              </w:rPr>
              <w:t>Reclamation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).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wspierać nie mniej niż 5000 </w:t>
            </w:r>
            <w:proofErr w:type="spellStart"/>
            <w:r>
              <w:rPr>
                <w:rFonts w:cstheme="minorHAnsi"/>
                <w:sz w:val="24"/>
                <w:szCs w:val="24"/>
              </w:rPr>
              <w:t>LUNów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4879CE" w14:paraId="23003E20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2432B8EA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48ECA21A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Zarządzanie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913A905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Zarządzanie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serwerem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(wszystkimi kontrolerami) z poziomu pojedynczego interfejsu graficznego. Wymagane jest stałe monitorowanie stanu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w tym monitorowanie wydajności obiektów takich jak:</w:t>
            </w:r>
          </w:p>
          <w:p w14:paraId="4247FC08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cały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</w:p>
          <w:p w14:paraId="5E9CA93A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kontrolery</w:t>
            </w:r>
          </w:p>
          <w:p w14:paraId="3B150C9C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 porty front-end</w:t>
            </w:r>
          </w:p>
          <w:p w14:paraId="31917DC9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dyski</w:t>
            </w:r>
          </w:p>
          <w:p w14:paraId="35935BF1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cstheme="minorHAnsi"/>
                <w:sz w:val="24"/>
                <w:szCs w:val="24"/>
              </w:rPr>
              <w:t>LUNy</w:t>
            </w:r>
            <w:proofErr w:type="spellEnd"/>
          </w:p>
          <w:p w14:paraId="713AF0CF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hosty</w:t>
            </w:r>
          </w:p>
          <w:p w14:paraId="7D35213E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Pod kątem parametrów takich jak:</w:t>
            </w:r>
          </w:p>
          <w:p w14:paraId="7A494506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operacje wejścia/wyjścia IOPS</w:t>
            </w:r>
          </w:p>
          <w:p w14:paraId="67EA00F9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przepustowość (KB/s lub MB/s)</w:t>
            </w:r>
          </w:p>
          <w:p w14:paraId="17342BCC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czas odpowiedzi (</w:t>
            </w:r>
            <w:proofErr w:type="spellStart"/>
            <w:r>
              <w:rPr>
                <w:rFonts w:cstheme="minorHAnsi"/>
                <w:sz w:val="24"/>
                <w:szCs w:val="24"/>
              </w:rPr>
              <w:t>latency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  <w:p w14:paraId="4780F4B2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zużycie CPU (w % dla kontrolerów)</w:t>
            </w:r>
          </w:p>
          <w:p w14:paraId="3938245C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Wymagana możliwość monitorowania stanu żywotności dysków SSD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/modułów </w:t>
            </w:r>
            <w:proofErr w:type="spellStart"/>
            <w:r>
              <w:rPr>
                <w:rFonts w:cstheme="minorHAnsi"/>
                <w:sz w:val="24"/>
                <w:szCs w:val="24"/>
              </w:rPr>
              <w:t>NVMe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Wymagana możliwość dostępu do historycznych danych wydajnościowych z poziomu GUI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do co najmniej 2 lat wstecz lub jako równoważne dostarczenie fizycznego serwera z oprogramowaniem umożliwiającym zbieranie i przeglądanie danych historycznych.</w:t>
            </w:r>
          </w:p>
          <w:p w14:paraId="39D7B324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Wymagana możliwość konfigurowania zasobów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</w:tc>
      </w:tr>
      <w:tr w:rsidR="004879CE" w14:paraId="3F24154B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5B5C277E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7963ECC1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Kopie wewnątrz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97E9C1B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Tworzenie na żądanie tzw. migawkowej kopii danych (ang. </w:t>
            </w:r>
            <w:proofErr w:type="spellStart"/>
            <w:r>
              <w:rPr>
                <w:rFonts w:cstheme="minorHAnsi"/>
                <w:sz w:val="24"/>
                <w:szCs w:val="24"/>
              </w:rPr>
              <w:t>snapshot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) wolumenów blokowych (LUN) w ramach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do wykorzystania w celu np. wykonywania kopii zapasowych. </w:t>
            </w:r>
            <w:proofErr w:type="spellStart"/>
            <w:r>
              <w:rPr>
                <w:rFonts w:cstheme="minorHAnsi"/>
                <w:sz w:val="24"/>
                <w:szCs w:val="24"/>
              </w:rPr>
              <w:t>Snapshoty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muszą być wykonywanie w technologii ROW (</w:t>
            </w:r>
            <w:proofErr w:type="spellStart"/>
            <w:r>
              <w:rPr>
                <w:rFonts w:cstheme="minorHAnsi"/>
                <w:sz w:val="24"/>
                <w:szCs w:val="24"/>
              </w:rPr>
              <w:t>Redirect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On Write). Wymagana jest możliwość utworzenia harmonogramu </w:t>
            </w:r>
            <w:proofErr w:type="spellStart"/>
            <w:r>
              <w:rPr>
                <w:rFonts w:cstheme="minorHAnsi"/>
                <w:sz w:val="24"/>
                <w:szCs w:val="24"/>
              </w:rPr>
              <w:t>snapshotów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umożliwiać utworzenie min 8000 </w:t>
            </w:r>
            <w:proofErr w:type="spellStart"/>
            <w:r>
              <w:rPr>
                <w:rFonts w:cstheme="minorHAnsi"/>
                <w:sz w:val="24"/>
                <w:szCs w:val="24"/>
              </w:rPr>
              <w:t>snapshotów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Musi być możliwość utworzenia harmonogramu </w:t>
            </w:r>
            <w:proofErr w:type="spellStart"/>
            <w:r>
              <w:rPr>
                <w:rFonts w:cstheme="minorHAnsi"/>
                <w:sz w:val="24"/>
                <w:szCs w:val="24"/>
              </w:rPr>
              <w:t>snapshotów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których nie można modyfikować ani usunąć bez odpowiednich uprawnień celem przywrócenia danych w przypadku ataku </w:t>
            </w:r>
            <w:proofErr w:type="spellStart"/>
            <w:r>
              <w:rPr>
                <w:rFonts w:cstheme="minorHAnsi"/>
                <w:sz w:val="24"/>
                <w:szCs w:val="24"/>
              </w:rPr>
              <w:t>ransomware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  <w:p w14:paraId="5937722D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Tworzenie na żądanie kopii danych typu klon w ramach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za pomocą wewnętrznych kontrolerów serwerowych.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Klon musi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umożliwość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resynchronizację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ze źródłowym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LUN’em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</w:tr>
      <w:tr w:rsidR="004879CE" w14:paraId="21D1EEFB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6651BC21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68AB2EAE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Deduplikacja</w:t>
            </w:r>
            <w:proofErr w:type="spellEnd"/>
            <w:r>
              <w:rPr>
                <w:rFonts w:cstheme="minorHAnsi"/>
                <w:sz w:val="24"/>
                <w:szCs w:val="24"/>
              </w:rPr>
              <w:t>/kompresja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A2AAA3F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wspierać funkcjonalności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deduplikacji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i kompresji danych. Musi istnieć możliwość wyboru wolumenów (LUN) na których te funkcjonalności będą włączone oraz możliwość ich późniejszego wyłączenia na utworzonych wolumenach (LUN).</w:t>
            </w:r>
          </w:p>
        </w:tc>
      </w:tr>
      <w:tr w:rsidR="004879CE" w14:paraId="08009359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0DC9E097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14B9A653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Replikacja </w:t>
            </w:r>
            <w:proofErr w:type="spellStart"/>
            <w:r>
              <w:rPr>
                <w:rFonts w:cstheme="minorHAnsi"/>
                <w:sz w:val="24"/>
                <w:szCs w:val="24"/>
              </w:rPr>
              <w:t>LUNów</w:t>
            </w:r>
            <w:proofErr w:type="spellEnd"/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12E6ABC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Możliwość zdalnej replikacji danych typu on-line (bez przerywania prezentacji wolumenów dyskowych) do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tej samej rodziny w trybie asynchronicznym lub synchronicznym przy wykorzystaniu portów IP. Funkcjonalność ta nie może wpływać na obciążenie serwerów podłączonych do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>.</w:t>
            </w:r>
          </w:p>
          <w:p w14:paraId="5CC18B0F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Oferowany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zapewniać natywne wsparcie dla replikacji co najmniej asynchronicznej do posiadanej przez Zamawiającego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Dorado 3000 V6 pod kątem przechowywania dodatkowych kopii zapasowych.</w:t>
            </w:r>
          </w:p>
        </w:tc>
      </w:tr>
      <w:tr w:rsidR="004879CE" w14:paraId="57AE09B0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19216918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31C97431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Klaster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87B57AA" w14:textId="77777777" w:rsidR="004879CE" w:rsidRDefault="00584556">
            <w:pPr>
              <w:spacing w:line="240" w:lineRule="auto"/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Wsparcie dla technologii </w:t>
            </w:r>
            <w:proofErr w:type="spellStart"/>
            <w:r>
              <w:rPr>
                <w:rFonts w:cstheme="minorHAnsi"/>
                <w:sz w:val="24"/>
                <w:szCs w:val="24"/>
              </w:rPr>
              <w:t>klastrowania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(ang. Storage Metro Cluster). 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musi dostarczać funkcjonalność klastra klasy "wysokiej dostępności" tj. zapewnienia </w:t>
            </w:r>
            <w:r>
              <w:rPr>
                <w:rFonts w:cstheme="minorHAnsi"/>
                <w:sz w:val="24"/>
                <w:szCs w:val="24"/>
              </w:rPr>
              <w:lastRenderedPageBreak/>
              <w:t xml:space="preserve">wysokiej dostępności zasobów dyskowych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dla podłączonych platform oprogramowania i sprzętowych z wykorzystaniem synchronicznej replikacji danych po protokole IP pomiędzy 2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serwerami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. Pod użytym pojęciem "wysoka dostępność zasobów dyskowych" należy rozumieć zapewnienie bezprzerwowego działania środowiska (aplikacja/system operacyjny/serwer) podłączonego do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preferowany) w przypadku wystąpienia awarii logicznego połączenia z tym serwerem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bądź awarii samego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powodujących dla danego środowiska brak dostępu do zasobów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preferowanego. Funkcjonalność klastra "wysokiej dostępności" pozwala na automatyczne przełączanie obsługi środowisk produkcyjnych z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preferowanego na niepreferowanego w przypadku awarii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preferowanej (tzw. </w:t>
            </w:r>
            <w:proofErr w:type="spellStart"/>
            <w:r>
              <w:rPr>
                <w:rFonts w:cstheme="minorHAnsi"/>
                <w:sz w:val="24"/>
                <w:szCs w:val="24"/>
              </w:rPr>
              <w:t>automated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failover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). Wymagany jest również automatyczny </w:t>
            </w:r>
            <w:proofErr w:type="spellStart"/>
            <w:r>
              <w:rPr>
                <w:rFonts w:cstheme="minorHAnsi"/>
                <w:sz w:val="24"/>
                <w:szCs w:val="24"/>
              </w:rPr>
              <w:t>failover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niepreferowanej na preferowaną. Dopuszczalne jest zastosowanie </w:t>
            </w:r>
            <w:proofErr w:type="spellStart"/>
            <w:r>
              <w:rPr>
                <w:rFonts w:cstheme="minorHAnsi"/>
                <w:sz w:val="24"/>
                <w:szCs w:val="24"/>
              </w:rPr>
              <w:t>tzw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arbitra w postaci serwera fizycznego / maszyny wirtualnej.</w:t>
            </w:r>
          </w:p>
          <w:p w14:paraId="4EDEE2C2" w14:textId="77777777" w:rsidR="004879CE" w:rsidRDefault="00584556">
            <w:pPr>
              <w:spacing w:line="240" w:lineRule="auto"/>
              <w:jc w:val="left"/>
              <w:rPr>
                <w:rFonts w:cstheme="minorHAnsi"/>
                <w:color w:val="00B05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Wymagana jest możliwość konfiguracji scenariusza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Disaster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Recovery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w którym oferowany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działają w ramach Storage Metro Cluster i jednocześnie replikują </w:t>
            </w:r>
            <w:r w:rsidRPr="00584556">
              <w:rPr>
                <w:rFonts w:cstheme="minorHAnsi"/>
                <w:sz w:val="24"/>
                <w:szCs w:val="24"/>
              </w:rPr>
              <w:t xml:space="preserve">się </w:t>
            </w:r>
            <w:r w:rsidRPr="00584556">
              <w:rPr>
                <w:rFonts w:cstheme="minorHAnsi"/>
                <w:color w:val="000000" w:themeColor="text1"/>
                <w:sz w:val="24"/>
                <w:szCs w:val="24"/>
              </w:rPr>
              <w:t>natywnie bez dodatkowych urządzeń wirtualizujących bądź pośredniczących</w:t>
            </w:r>
            <w:r>
              <w:rPr>
                <w:rFonts w:cstheme="minorHAnsi"/>
                <w:sz w:val="24"/>
                <w:szCs w:val="24"/>
              </w:rPr>
              <w:t xml:space="preserve"> co najmniej asynchronicznie do posiadanej przez Zamawiającego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Dorado 3000 V6.</w:t>
            </w:r>
          </w:p>
        </w:tc>
      </w:tr>
      <w:tr w:rsidR="004879CE" w14:paraId="6ED7E96E" w14:textId="77777777" w:rsidTr="6BE7D1E9">
        <w:trPr>
          <w:trHeight w:val="1176"/>
        </w:trPr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4AB67D47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55F0EC8D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Priorytety zadań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6AFBC4F" w14:textId="77777777" w:rsidR="004879CE" w:rsidRPr="00B8337D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B8337D"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 w:rsidRPr="00B8337D"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 w:rsidRPr="00B8337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37D"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 w:rsidRPr="00B8337D">
              <w:rPr>
                <w:rFonts w:cstheme="minorHAnsi"/>
                <w:sz w:val="24"/>
                <w:szCs w:val="24"/>
              </w:rPr>
              <w:t xml:space="preserve"> musi posiadać możliwość zapewnienia ciągłości biznesu na oczekiwanym poziomie usług (</w:t>
            </w:r>
            <w:proofErr w:type="spellStart"/>
            <w:r w:rsidRPr="00B8337D">
              <w:rPr>
                <w:rFonts w:cstheme="minorHAnsi"/>
                <w:sz w:val="24"/>
                <w:szCs w:val="24"/>
              </w:rPr>
              <w:t>QoS</w:t>
            </w:r>
            <w:proofErr w:type="spellEnd"/>
            <w:r w:rsidRPr="00B8337D">
              <w:rPr>
                <w:rFonts w:cstheme="minorHAnsi"/>
                <w:sz w:val="24"/>
                <w:szCs w:val="24"/>
              </w:rPr>
              <w:t xml:space="preserve">) poprzez definicję polityk </w:t>
            </w:r>
            <w:proofErr w:type="spellStart"/>
            <w:r w:rsidRPr="00B8337D">
              <w:rPr>
                <w:rFonts w:cstheme="minorHAnsi"/>
                <w:sz w:val="24"/>
                <w:szCs w:val="24"/>
              </w:rPr>
              <w:t>QoS</w:t>
            </w:r>
            <w:proofErr w:type="spellEnd"/>
            <w:r w:rsidRPr="00B8337D">
              <w:rPr>
                <w:rFonts w:cstheme="minorHAnsi"/>
                <w:sz w:val="24"/>
                <w:szCs w:val="24"/>
              </w:rPr>
              <w:t xml:space="preserve"> w oparciu o maksymalne progi wydajności IOPS i MB/s. Musi istnieć możliwość określenia polityk </w:t>
            </w:r>
            <w:proofErr w:type="spellStart"/>
            <w:r w:rsidRPr="00B8337D">
              <w:rPr>
                <w:rFonts w:cstheme="minorHAnsi"/>
                <w:sz w:val="24"/>
                <w:szCs w:val="24"/>
              </w:rPr>
              <w:t>QoS</w:t>
            </w:r>
            <w:proofErr w:type="spellEnd"/>
            <w:r w:rsidRPr="00B8337D">
              <w:rPr>
                <w:rFonts w:cstheme="minorHAnsi"/>
                <w:sz w:val="24"/>
                <w:szCs w:val="24"/>
              </w:rPr>
              <w:t xml:space="preserve"> na poziomie </w:t>
            </w:r>
            <w:proofErr w:type="spellStart"/>
            <w:r w:rsidRPr="00B8337D">
              <w:rPr>
                <w:rFonts w:cstheme="minorHAnsi"/>
                <w:sz w:val="24"/>
                <w:szCs w:val="24"/>
              </w:rPr>
              <w:t>LUNów</w:t>
            </w:r>
            <w:proofErr w:type="spellEnd"/>
            <w:r w:rsidRPr="00B8337D">
              <w:rPr>
                <w:rFonts w:cstheme="minorHAnsi"/>
                <w:sz w:val="24"/>
                <w:szCs w:val="24"/>
              </w:rPr>
              <w:t xml:space="preserve"> oraz hostów.</w:t>
            </w:r>
          </w:p>
        </w:tc>
      </w:tr>
      <w:tr w:rsidR="004879CE" w14:paraId="1F97C408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6C230CC8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17AE3D2F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Funkcjonalności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26DF68A" w14:textId="77777777" w:rsidR="004879CE" w:rsidRPr="00B8337D" w:rsidRDefault="00584556">
            <w:pPr>
              <w:pStyle w:val="Default"/>
              <w:rPr>
                <w:rFonts w:asciiTheme="minorHAnsi" w:hAnsiTheme="minorHAnsi" w:cstheme="minorHAnsi"/>
                <w:sz w:val="24"/>
                <w:szCs w:val="24"/>
              </w:rPr>
            </w:pPr>
            <w:r w:rsidRPr="00B8337D">
              <w:rPr>
                <w:rFonts w:asciiTheme="minorHAnsi" w:eastAsia="Times New Roman" w:hAnsiTheme="minorHAnsi" w:cstheme="minorHAnsi"/>
                <w:sz w:val="24"/>
                <w:szCs w:val="24"/>
              </w:rPr>
              <w:t>Wymagane jest dostarczenie licencji na wszystkie opisane powyżej funkcjonalności. Licencje muszą być wieczyste.</w:t>
            </w:r>
          </w:p>
        </w:tc>
      </w:tr>
      <w:tr w:rsidR="004879CE" w14:paraId="61E123D4" w14:textId="77777777" w:rsidTr="6BE7D1E9"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1C482DB7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180E91E9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Wspierane systemy operacyjne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200559D" w14:textId="77777777" w:rsidR="004879CE" w:rsidRDefault="00584556">
            <w:pPr>
              <w:spacing w:after="160" w:line="240" w:lineRule="auto"/>
              <w:jc w:val="lef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Wsparcie, dla co najmniej Microsoft Server Windows 2016/2019/2022, </w:t>
            </w:r>
            <w:proofErr w:type="spellStart"/>
            <w:r>
              <w:rPr>
                <w:rFonts w:cstheme="minorHAnsi"/>
                <w:sz w:val="24"/>
                <w:szCs w:val="24"/>
              </w:rPr>
              <w:t>VMware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7.0/8.0, Linux </w:t>
            </w:r>
            <w:proofErr w:type="spellStart"/>
            <w:r>
              <w:rPr>
                <w:rFonts w:cstheme="minorHAnsi"/>
                <w:sz w:val="24"/>
                <w:szCs w:val="24"/>
              </w:rPr>
              <w:t>RedHat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7.x/8.x, </w:t>
            </w:r>
            <w:proofErr w:type="spellStart"/>
            <w:r>
              <w:rPr>
                <w:rFonts w:cstheme="minorHAnsi"/>
                <w:sz w:val="24"/>
                <w:szCs w:val="24"/>
              </w:rPr>
              <w:t>CentOS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7.x/8.x, </w:t>
            </w:r>
            <w:proofErr w:type="spellStart"/>
            <w:r>
              <w:rPr>
                <w:rFonts w:cstheme="minorHAnsi"/>
                <w:sz w:val="24"/>
                <w:szCs w:val="24"/>
              </w:rPr>
              <w:t>Proxmox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VE 6.1</w:t>
            </w:r>
          </w:p>
        </w:tc>
      </w:tr>
      <w:tr w:rsidR="004879CE" w14:paraId="69E6E7F1" w14:textId="77777777" w:rsidTr="6BE7D1E9">
        <w:trPr>
          <w:trHeight w:val="2351"/>
        </w:trPr>
        <w:tc>
          <w:tcPr>
            <w:tcW w:w="54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152853E9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4727DE99" w14:textId="77777777" w:rsidR="004879CE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Serwisowalność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F935BF6" w14:textId="77777777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 xml:space="preserve">Wymagane uaktualnianie </w:t>
            </w:r>
            <w:proofErr w:type="spellStart"/>
            <w:r w:rsidRPr="00584556">
              <w:rPr>
                <w:rFonts w:cstheme="minorHAnsi"/>
                <w:sz w:val="24"/>
                <w:szCs w:val="24"/>
              </w:rPr>
              <w:t>firmware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-u kontrolerów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serwera</w:t>
            </w:r>
            <w:proofErr w:type="spellEnd"/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 bez przerywania dostępu do danych.</w:t>
            </w:r>
          </w:p>
          <w:p w14:paraId="333BD80A" w14:textId="77777777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 przystosowany do napraw w miejscu zainstalowania oraz wymiany elementów bez konieczności jej wyłączania.</w:t>
            </w:r>
          </w:p>
          <w:p w14:paraId="19DBD226" w14:textId="77777777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Serwer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pamięci</w:t>
            </w:r>
            <w:proofErr w:type="spellEnd"/>
            <w:r w:rsidRPr="00584556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556">
              <w:rPr>
                <w:rFonts w:cstheme="minorHAnsi"/>
                <w:sz w:val="24"/>
                <w:szCs w:val="24"/>
                <w:lang w:val="en-US"/>
              </w:rPr>
              <w:t>masowej</w:t>
            </w:r>
            <w:proofErr w:type="spellEnd"/>
            <w:r w:rsidRPr="00584556">
              <w:rPr>
                <w:rFonts w:cstheme="minorHAnsi"/>
                <w:sz w:val="24"/>
                <w:szCs w:val="24"/>
              </w:rPr>
              <w:t xml:space="preserve"> musi umożliwiać zdalne zarządzanie.</w:t>
            </w:r>
          </w:p>
          <w:p w14:paraId="73D312E4" w14:textId="581C5178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 xml:space="preserve">Urządzenie musi być fabrycznie nowe i pochodzić  z autoryzowanego kanału dystrybucji producenta, a także musi być objęte serwisem producenta lub autoryzowanego partnera serwisowego producenta. Wykonawca musi zapewnić, aby gwarancja/ obsługa serwisowa była </w:t>
            </w:r>
            <w:r w:rsidRPr="00584556">
              <w:rPr>
                <w:rFonts w:cstheme="minorHAnsi"/>
                <w:sz w:val="24"/>
                <w:szCs w:val="24"/>
              </w:rPr>
              <w:lastRenderedPageBreak/>
              <w:t>świadczona na rzecz Zamawiającego i była dostępna w pełnym zakresie w języku polskim.</w:t>
            </w:r>
          </w:p>
          <w:p w14:paraId="0388ACCB" w14:textId="77777777" w:rsidR="004879CE" w:rsidRPr="00584556" w:rsidRDefault="004879CE">
            <w:pPr>
              <w:spacing w:line="240" w:lineRule="auto"/>
              <w:jc w:val="left"/>
              <w:rPr>
                <w:rFonts w:cstheme="minorHAnsi"/>
                <w:sz w:val="24"/>
                <w:szCs w:val="24"/>
              </w:rPr>
            </w:pPr>
          </w:p>
          <w:p w14:paraId="2D5993E1" w14:textId="617008C9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>Wymagana gwarancja w trybie 9x5 NBD przez okres wskazany w ofercie zgodnie z kryterium oceny ofert. Gwarancja musi</w:t>
            </w:r>
            <w:r w:rsidRPr="00584556">
              <w:rPr>
                <w:rFonts w:cstheme="minorHAnsi"/>
                <w:b/>
                <w:sz w:val="24"/>
                <w:szCs w:val="24"/>
              </w:rPr>
              <w:t xml:space="preserve"> obejmując co najmniej poniższy zakres:</w:t>
            </w:r>
          </w:p>
          <w:p w14:paraId="608AF80D" w14:textId="77777777" w:rsidR="004879CE" w:rsidRPr="00584556" w:rsidRDefault="0058455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>W okresie gwarancji rozpoczęcie napraw gwarancyjnych nastąpi nie później niż w następnym dniu roboczym od chwili zarejestrowania zgłoszenia o awarii przekazanej e-mailem lub telefonicznie; z zastrzeżeniem, że:</w:t>
            </w:r>
          </w:p>
          <w:p w14:paraId="4E5AF858" w14:textId="77777777" w:rsidR="004879CE" w:rsidRPr="00584556" w:rsidRDefault="0058455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>- Zamawiający ma możliwość zgłoszenia awarii przez całą dobę.</w:t>
            </w:r>
          </w:p>
          <w:p w14:paraId="12F617D8" w14:textId="77777777" w:rsidR="004879CE" w:rsidRPr="00584556" w:rsidRDefault="0058455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>- Zgłoszone przez Zamawiającego awarie po godzinie 16 w dni robocze (poniedziałek - piątek), w dni wolne od pracy (sobota-niedziela) oraz w dni ustawowo wolne (święta) będą rejestrowane w najbliższy dzień roboczy.</w:t>
            </w:r>
          </w:p>
          <w:p w14:paraId="05FD8513" w14:textId="77777777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>Przez okres gwarancji wszystkie czynności wymagane do jej zachowania, a w szczególności konserwacja, naprawy mechaniczne, przeglądy techniczne i serwis będą wykonywane przez autoryzowany serwis producenta. Jeżeli nie ma możliwości usunięcia awarii w miejscu zainstalowania przedmiotu zamówienia ewentualny koszt transportu przedmiotu zamówienia do miejsca naprawy i z powrotem do miejsca instalacji u Zamawiającego musi być ujęty w cenie oferty.</w:t>
            </w:r>
          </w:p>
        </w:tc>
      </w:tr>
      <w:tr w:rsidR="004879CE" w14:paraId="1417B0EC" w14:textId="77777777" w:rsidTr="6BE7D1E9">
        <w:trPr>
          <w:trHeight w:val="2351"/>
        </w:trPr>
        <w:tc>
          <w:tcPr>
            <w:tcW w:w="544" w:type="dxa"/>
            <w:tcBorders>
              <w:top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5A5CF1AD" w14:textId="77777777" w:rsidR="004879CE" w:rsidRDefault="004879CE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hanging="3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3AB04D9E" w14:textId="77777777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>Instalacja</w:t>
            </w:r>
          </w:p>
        </w:tc>
        <w:tc>
          <w:tcPr>
            <w:tcW w:w="7231" w:type="dxa"/>
            <w:tcBorders>
              <w:top w:val="single" w:sz="6" w:space="0" w:color="000000" w:themeColor="text1"/>
              <w:left w:val="single" w:sz="6" w:space="0" w:color="000000" w:themeColor="text1"/>
            </w:tcBorders>
          </w:tcPr>
          <w:p w14:paraId="189E8316" w14:textId="77777777" w:rsidR="004879CE" w:rsidRPr="00584556" w:rsidRDefault="00584556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84556">
              <w:rPr>
                <w:rFonts w:cstheme="minorHAnsi"/>
                <w:sz w:val="24"/>
                <w:szCs w:val="24"/>
              </w:rPr>
              <w:t>Wykonawca jest zobowiązany zainstalować przedmiot umowy w miejscu wskazanym przez Zamawiającego. Wymagana jest konfiguracja klastra w oparciu o dostarczone serwery pamięci masowych  oraz przeprowadzenia testów niezawodnościowych skonfigurowanego klastra polegające na wyłączeniu losowego serwera pamięci masowej z klastra i weryfikacji przełączenia ścieżek do danych.</w:t>
            </w:r>
          </w:p>
        </w:tc>
      </w:tr>
    </w:tbl>
    <w:p w14:paraId="6BEAFD9C" w14:textId="77777777" w:rsidR="004879CE" w:rsidRDefault="004879CE">
      <w:pPr>
        <w:spacing w:afterAutospacing="1"/>
        <w:rPr>
          <w:rFonts w:cstheme="minorHAnsi"/>
          <w:i/>
          <w:sz w:val="24"/>
          <w:szCs w:val="24"/>
        </w:rPr>
      </w:pPr>
    </w:p>
    <w:p w14:paraId="31104C7F" w14:textId="77777777" w:rsidR="004879CE" w:rsidRDefault="00584556">
      <w:pPr>
        <w:spacing w:afterAutospacing="1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W związku z realizacją przedmiotowego zamówienia nie występuje konieczność uwzględnienia wymogów dostępności dla osób ze szczególnymi potrzebami zgodnie z zasadami wynikającymi z postanowień ustawy z dnia 19 lipca 2019 r. o zapewnieniu dostępności osobom ze szczególnymi potrzebami (Dz.U. z 2024 r.,</w:t>
      </w:r>
      <w:proofErr w:type="spellStart"/>
      <w:r>
        <w:rPr>
          <w:rFonts w:cstheme="minorHAnsi"/>
          <w:i/>
          <w:sz w:val="24"/>
          <w:szCs w:val="24"/>
        </w:rPr>
        <w:t>poz</w:t>
      </w:r>
      <w:proofErr w:type="spellEnd"/>
      <w:r>
        <w:rPr>
          <w:rFonts w:cstheme="minorHAnsi"/>
          <w:i/>
          <w:sz w:val="24"/>
          <w:szCs w:val="24"/>
        </w:rPr>
        <w:t>. 1411 ze zm.)</w:t>
      </w:r>
    </w:p>
    <w:sectPr w:rsidR="004879CE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default"/>
    <w:sig w:usb0="00000000" w:usb1="00000000" w:usb2="00000000" w:usb3="00000000" w:csb0="00040001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5787B"/>
    <w:multiLevelType w:val="multilevel"/>
    <w:tmpl w:val="99A872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18425FB"/>
    <w:multiLevelType w:val="multilevel"/>
    <w:tmpl w:val="7F545D02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860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9CE"/>
    <w:rsid w:val="002D7EF4"/>
    <w:rsid w:val="004879CE"/>
    <w:rsid w:val="00584556"/>
    <w:rsid w:val="006A64D6"/>
    <w:rsid w:val="009B2A2D"/>
    <w:rsid w:val="00B8337D"/>
    <w:rsid w:val="00BC2BF2"/>
    <w:rsid w:val="00D45109"/>
    <w:rsid w:val="6BE7D1E9"/>
    <w:rsid w:val="6F98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D0F8"/>
  <w15:docId w15:val="{39D81F5C-F48D-4297-86CF-95BF4EC8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5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E88"/>
    <w:pPr>
      <w:spacing w:after="120" w:line="276" w:lineRule="auto"/>
      <w:contextualSpacing/>
      <w:jc w:val="both"/>
    </w:pPr>
    <w:rPr>
      <w:rFonts w:eastAsia="MS Mincho" w:cs="Times New Roman"/>
      <w:sz w:val="22"/>
      <w:szCs w:val="20"/>
      <w:lang w:eastAsia="ja-JP"/>
    </w:rPr>
  </w:style>
  <w:style w:type="paragraph" w:styleId="Nagwek1">
    <w:name w:val="heading 1"/>
    <w:basedOn w:val="Normalny"/>
    <w:next w:val="Normalny"/>
    <w:link w:val="Nagwek1Znak"/>
    <w:qFormat/>
    <w:rsid w:val="00E90E88"/>
    <w:pPr>
      <w:keepNext/>
      <w:numPr>
        <w:numId w:val="1"/>
      </w:numPr>
      <w:spacing w:before="600" w:after="240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link w:val="Nagwek2Znak"/>
    <w:qFormat/>
    <w:rsid w:val="00E90E88"/>
    <w:pPr>
      <w:keepNext/>
      <w:numPr>
        <w:ilvl w:val="1"/>
        <w:numId w:val="1"/>
      </w:numPr>
      <w:spacing w:before="480" w:after="240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90E88"/>
    <w:pPr>
      <w:keepNext/>
      <w:numPr>
        <w:ilvl w:val="2"/>
        <w:numId w:val="1"/>
      </w:numPr>
      <w:spacing w:before="240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90E88"/>
    <w:pPr>
      <w:keepNext/>
      <w:numPr>
        <w:ilvl w:val="3"/>
        <w:numId w:val="1"/>
      </w:numPr>
      <w:spacing w:before="20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E90E88"/>
    <w:pPr>
      <w:numPr>
        <w:ilvl w:val="4"/>
        <w:numId w:val="1"/>
      </w:numPr>
      <w:spacing w:before="240" w:after="60"/>
      <w:outlineLvl w:val="4"/>
    </w:pPr>
    <w:rPr>
      <w:rFonts w:eastAsia="Times New Roman"/>
      <w:bCs/>
      <w:iCs/>
      <w:szCs w:val="26"/>
    </w:rPr>
  </w:style>
  <w:style w:type="paragraph" w:styleId="Nagwek6">
    <w:name w:val="heading 6"/>
    <w:basedOn w:val="Normalny"/>
    <w:next w:val="Normalny"/>
    <w:link w:val="Nagwek6Znak"/>
    <w:qFormat/>
    <w:rsid w:val="00E90E88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90E88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90E88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90E88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90E88"/>
    <w:rPr>
      <w:rFonts w:ascii="Calibri" w:eastAsia="MS Mincho" w:hAnsi="Calibri" w:cs="Times New Roman"/>
      <w:b/>
      <w:bCs/>
      <w:sz w:val="32"/>
      <w:szCs w:val="20"/>
      <w:lang w:eastAsia="ja-JP"/>
    </w:rPr>
  </w:style>
  <w:style w:type="character" w:customStyle="1" w:styleId="Nagwek2Znak">
    <w:name w:val="Nagłówek 2 Znak"/>
    <w:basedOn w:val="Domylnaczcionkaakapitu"/>
    <w:link w:val="Nagwek2"/>
    <w:qFormat/>
    <w:rsid w:val="00E90E88"/>
    <w:rPr>
      <w:rFonts w:ascii="Calibri" w:eastAsia="MS Mincho" w:hAnsi="Calibri" w:cs="Times New Roman"/>
      <w:b/>
      <w:sz w:val="28"/>
      <w:szCs w:val="20"/>
      <w:lang w:eastAsia="ja-JP"/>
    </w:rPr>
  </w:style>
  <w:style w:type="character" w:customStyle="1" w:styleId="Nagwek3Znak">
    <w:name w:val="Nagłówek 3 Znak"/>
    <w:basedOn w:val="Domylnaczcionkaakapitu"/>
    <w:link w:val="Nagwek3"/>
    <w:qFormat/>
    <w:rsid w:val="00E90E88"/>
    <w:rPr>
      <w:rFonts w:ascii="Calibri" w:eastAsia="Times New Roman" w:hAnsi="Calibri" w:cs="Times New Roman"/>
      <w:b/>
      <w:bCs/>
      <w:szCs w:val="26"/>
      <w:lang w:eastAsia="ja-JP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E90E88"/>
    <w:rPr>
      <w:rFonts w:ascii="Calibri" w:eastAsia="Times New Roman" w:hAnsi="Calibri" w:cs="Times New Roman"/>
      <w:b/>
      <w:bCs/>
      <w:sz w:val="22"/>
      <w:szCs w:val="28"/>
      <w:lang w:eastAsia="ja-JP"/>
    </w:rPr>
  </w:style>
  <w:style w:type="character" w:customStyle="1" w:styleId="Nagwek5Znak">
    <w:name w:val="Nagłówek 5 Znak"/>
    <w:basedOn w:val="Domylnaczcionkaakapitu"/>
    <w:link w:val="Nagwek5"/>
    <w:qFormat/>
    <w:rsid w:val="00E90E88"/>
    <w:rPr>
      <w:rFonts w:ascii="Calibri" w:eastAsia="Times New Roman" w:hAnsi="Calibri" w:cs="Times New Roman"/>
      <w:bCs/>
      <w:iCs/>
      <w:sz w:val="22"/>
      <w:szCs w:val="26"/>
      <w:lang w:eastAsia="ja-JP"/>
    </w:rPr>
  </w:style>
  <w:style w:type="character" w:customStyle="1" w:styleId="Nagwek6Znak">
    <w:name w:val="Nagłówek 6 Znak"/>
    <w:basedOn w:val="Domylnaczcionkaakapitu"/>
    <w:link w:val="Nagwek6"/>
    <w:qFormat/>
    <w:rsid w:val="00E90E88"/>
    <w:rPr>
      <w:rFonts w:ascii="Calibri" w:eastAsia="Times New Roman" w:hAnsi="Calibri" w:cs="Times New Roman"/>
      <w:b/>
      <w:bCs/>
      <w:sz w:val="22"/>
      <w:szCs w:val="22"/>
      <w:lang w:eastAsia="ja-JP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90E88"/>
    <w:rPr>
      <w:rFonts w:ascii="Calibri" w:eastAsia="Times New Roman" w:hAnsi="Calibri" w:cs="Times New Roman"/>
      <w:lang w:eastAsia="ja-JP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E90E88"/>
    <w:rPr>
      <w:rFonts w:ascii="Calibri" w:eastAsia="Times New Roman" w:hAnsi="Calibri" w:cs="Times New Roman"/>
      <w:i/>
      <w:iCs/>
      <w:lang w:eastAsia="ja-JP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E90E88"/>
    <w:rPr>
      <w:rFonts w:ascii="Cambria" w:eastAsia="Times New Roman" w:hAnsi="Cambria" w:cs="Times New Roman"/>
      <w:sz w:val="22"/>
      <w:szCs w:val="22"/>
      <w:lang w:eastAsia="ja-JP"/>
    </w:rPr>
  </w:style>
  <w:style w:type="character" w:customStyle="1" w:styleId="AkapitzlistZnak">
    <w:name w:val="Akapit z listą Znak"/>
    <w:link w:val="Akapitzlist"/>
    <w:uiPriority w:val="34"/>
    <w:qFormat/>
    <w:rsid w:val="00E90E88"/>
    <w:rPr>
      <w:rFonts w:ascii="Calibri" w:eastAsia="MS Mincho" w:hAnsi="Calibri" w:cs="Times New Roman"/>
      <w:sz w:val="22"/>
      <w:szCs w:val="20"/>
      <w:lang w:eastAsia="ja-JP"/>
    </w:rPr>
  </w:style>
  <w:style w:type="character" w:customStyle="1" w:styleId="NagwekZnak">
    <w:name w:val="Nagłówek Znak"/>
    <w:basedOn w:val="Domylnaczcionkaakapitu"/>
    <w:link w:val="Nagwek"/>
    <w:uiPriority w:val="15"/>
    <w:qFormat/>
    <w:rsid w:val="00170196"/>
    <w:rPr>
      <w:rFonts w:ascii="Arial" w:eastAsia="Andale Sans UI" w:hAnsi="Arial" w:cs="Arial"/>
      <w:kern w:val="2"/>
      <w:sz w:val="28"/>
      <w:szCs w:val="2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170196"/>
    <w:rPr>
      <w:rFonts w:ascii="Calibri" w:eastAsia="MS Mincho" w:hAnsi="Calibri" w:cs="Times New Roman"/>
      <w:sz w:val="22"/>
      <w:szCs w:val="20"/>
      <w:lang w:eastAsia="ja-JP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EA2"/>
    <w:rPr>
      <w:rFonts w:ascii="Calibri" w:eastAsia="MS Mincho" w:hAnsi="Calibri" w:cs="Times New Roman"/>
      <w:sz w:val="22"/>
      <w:szCs w:val="20"/>
      <w:lang w:eastAsia="ja-JP"/>
    </w:rPr>
  </w:style>
  <w:style w:type="paragraph" w:styleId="Nagwek">
    <w:name w:val="header"/>
    <w:basedOn w:val="Normalny"/>
    <w:next w:val="Tekstpodstawowy"/>
    <w:link w:val="NagwekZnak"/>
    <w:uiPriority w:val="15"/>
    <w:rsid w:val="00170196"/>
    <w:pPr>
      <w:keepNext/>
      <w:widowControl w:val="0"/>
      <w:spacing w:before="240" w:line="240" w:lineRule="auto"/>
      <w:contextualSpacing w:val="0"/>
      <w:jc w:val="left"/>
    </w:pPr>
    <w:rPr>
      <w:rFonts w:ascii="Arial" w:eastAsia="Andale Sans UI" w:hAnsi="Arial" w:cs="Arial"/>
      <w:kern w:val="2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0196"/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uiPriority w:val="35"/>
    <w:qFormat/>
    <w:rsid w:val="00E90E88"/>
    <w:rPr>
      <w:b/>
      <w:b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link w:val="AkapitzlistZnak"/>
    <w:uiPriority w:val="34"/>
    <w:qFormat/>
    <w:rsid w:val="00E90E88"/>
    <w:pPr>
      <w:ind w:left="720"/>
    </w:pPr>
  </w:style>
  <w:style w:type="paragraph" w:customStyle="1" w:styleId="Default">
    <w:name w:val="Default"/>
    <w:qFormat/>
    <w:rsid w:val="008447EF"/>
    <w:rPr>
      <w:rFonts w:ascii="Arial" w:eastAsia="Calibri" w:hAnsi="Arial" w:cs="Arial"/>
      <w:color w:val="00000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EA2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ela-EleganckiAW">
    <w:name w:val="Tabela - Elegancki AW"/>
    <w:basedOn w:val="Tabela-Elegancki"/>
    <w:uiPriority w:val="99"/>
    <w:rsid w:val="00E90E88"/>
    <w:rPr>
      <w:sz w:val="18"/>
      <w:szCs w:val="20"/>
      <w:lang w:eastAsia="pl-PL"/>
    </w:rPr>
    <w:tblPr/>
    <w:tcPr>
      <w:shd w:val="clear" w:color="auto" w:fill="auto"/>
      <w:vAlign w:val="center"/>
    </w:tcPr>
    <w:tblStylePr w:type="firstRow">
      <w:pPr>
        <w:wordWrap/>
        <w:spacing w:beforeLines="0" w:before="120" w:afterLines="0" w:after="120" w:line="276" w:lineRule="auto"/>
        <w:jc w:val="center"/>
      </w:pPr>
      <w:rPr>
        <w:b/>
        <w:i w:val="0"/>
        <w:caps/>
        <w:sz w:val="18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BFBFBF"/>
      </w:tcPr>
    </w:tblStylePr>
  </w:style>
  <w:style w:type="table" w:styleId="Tabela-Elegancki">
    <w:name w:val="Table Elegant"/>
    <w:basedOn w:val="Standardowy"/>
    <w:uiPriority w:val="99"/>
    <w:semiHidden/>
    <w:unhideWhenUsed/>
    <w:rsid w:val="00E90E88"/>
    <w:pPr>
      <w:spacing w:after="120" w:line="276" w:lineRule="auto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EleganckiAW1">
    <w:name w:val="Tabela - Elegancki AW1"/>
    <w:basedOn w:val="Tabela-Elegancki"/>
    <w:uiPriority w:val="99"/>
    <w:rsid w:val="000E67C3"/>
    <w:rPr>
      <w:sz w:val="18"/>
      <w:szCs w:val="20"/>
      <w:lang w:eastAsia="pl-PL"/>
    </w:rPr>
    <w:tblPr/>
    <w:tcPr>
      <w:shd w:val="clear" w:color="auto" w:fill="auto"/>
      <w:vAlign w:val="center"/>
    </w:tcPr>
    <w:tblStylePr w:type="firstRow">
      <w:pPr>
        <w:wordWrap/>
        <w:spacing w:beforeLines="0" w:before="120" w:afterLines="0" w:after="120" w:line="276" w:lineRule="auto"/>
        <w:jc w:val="center"/>
      </w:pPr>
      <w:rPr>
        <w:b/>
        <w:i w:val="0"/>
        <w:caps/>
        <w:sz w:val="18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BFBFBF"/>
      </w:tcPr>
    </w:tblStylePr>
  </w:style>
  <w:style w:type="table" w:styleId="Tabela-Siatka">
    <w:name w:val="Table Grid"/>
    <w:basedOn w:val="Standardowy"/>
    <w:uiPriority w:val="59"/>
    <w:rsid w:val="000E67C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ECCF0A21D16D41A0DA8C8838E228F8" ma:contentTypeVersion="18" ma:contentTypeDescription="Utwórz nowy dokument." ma:contentTypeScope="" ma:versionID="f14aa620a6450c0b2afc73ccf84b137d">
  <xsd:schema xmlns:xsd="http://www.w3.org/2001/XMLSchema" xmlns:xs="http://www.w3.org/2001/XMLSchema" xmlns:p="http://schemas.microsoft.com/office/2006/metadata/properties" xmlns:ns2="c8db5acc-aa12-4422-a624-49817d7211a3" xmlns:ns3="49047b5a-b0fe-4cef-bff2-04737d66fa68" targetNamespace="http://schemas.microsoft.com/office/2006/metadata/properties" ma:root="true" ma:fieldsID="4c0845bdd5c1732d09eeefd6f21ac005" ns2:_="" ns3:_="">
    <xsd:import namespace="c8db5acc-aa12-4422-a624-49817d7211a3"/>
    <xsd:import namespace="49047b5a-b0fe-4cef-bff2-04737d66fa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b5acc-aa12-4422-a624-49817d7211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88e68cdd-70bf-4b8a-8b82-961f52dbf3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47b5a-b0fe-4cef-bff2-04737d66fa6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100e98a-d7e0-474b-a6c2-92293cc2b4ef}" ma:internalName="TaxCatchAll" ma:showField="CatchAllData" ma:web="49047b5a-b0fe-4cef-bff2-04737d66fa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db5acc-aa12-4422-a624-49817d7211a3">
      <Terms xmlns="http://schemas.microsoft.com/office/infopath/2007/PartnerControls"/>
    </lcf76f155ced4ddcb4097134ff3c332f>
    <TaxCatchAll xmlns="49047b5a-b0fe-4cef-bff2-04737d66fa68" xsi:nil="true"/>
  </documentManagement>
</p:properties>
</file>

<file path=customXml/itemProps1.xml><?xml version="1.0" encoding="utf-8"?>
<ds:datastoreItem xmlns:ds="http://schemas.openxmlformats.org/officeDocument/2006/customXml" ds:itemID="{5EC68ECF-FD04-44F3-AA6A-5A4CB6E8B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db5acc-aa12-4422-a624-49817d7211a3"/>
    <ds:schemaRef ds:uri="49047b5a-b0fe-4cef-bff2-04737d66fa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C221A6-E397-473A-B9FF-6C1BC75671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055DA3-05FF-4429-819D-4BD720B02963}">
  <ds:schemaRefs>
    <ds:schemaRef ds:uri="http://schemas.microsoft.com/office/2006/metadata/properties"/>
    <ds:schemaRef ds:uri="http://schemas.microsoft.com/office/infopath/2007/PartnerControls"/>
    <ds:schemaRef ds:uri="c8db5acc-aa12-4422-a624-49817d7211a3"/>
    <ds:schemaRef ds:uri="49047b5a-b0fe-4cef-bff2-04737d66fa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2013</Words>
  <Characters>12082</Characters>
  <Application>Microsoft Office Word</Application>
  <DocSecurity>0</DocSecurity>
  <Lines>100</Lines>
  <Paragraphs>28</Paragraphs>
  <ScaleCrop>false</ScaleCrop>
  <Company/>
  <LinksUpToDate>false</LinksUpToDate>
  <CharactersWithSpaces>14067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dc:description/>
  <cp:lastModifiedBy>Paweł Starczewski</cp:lastModifiedBy>
  <cp:revision>4</cp:revision>
  <dcterms:created xsi:type="dcterms:W3CDTF">2025-04-10T10:52:00Z</dcterms:created>
  <dcterms:modified xsi:type="dcterms:W3CDTF">2025-04-11T08:53:00Z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0x01010022ECCF0A21D16D41A0DA8C8838E228F8</vt:lpwstr>
  </property>
</Properties>
</file>