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27" w:rsidRDefault="00827227" w:rsidP="0082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 xml:space="preserve">Załącznik nr 3 do </w:t>
      </w:r>
      <w:r w:rsidR="001647CC">
        <w:rPr>
          <w:rFonts w:ascii="Times New Roman" w:hAnsi="Times New Roman" w:cs="Times New Roman"/>
        </w:rPr>
        <w:t>IWZ</w:t>
      </w:r>
    </w:p>
    <w:p w:rsidR="001647CC" w:rsidRPr="00827227" w:rsidRDefault="001647CC" w:rsidP="0082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Formularza oferty</w:t>
      </w:r>
    </w:p>
    <w:p w:rsidR="00827227" w:rsidRDefault="00827227" w:rsidP="0082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47CC" w:rsidRPr="00827227" w:rsidRDefault="001647CC" w:rsidP="0082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7227" w:rsidRDefault="00827227" w:rsidP="0082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4B">
        <w:rPr>
          <w:rFonts w:ascii="Times New Roman" w:hAnsi="Times New Roman" w:cs="Times New Roman"/>
          <w:b/>
          <w:sz w:val="24"/>
          <w:szCs w:val="24"/>
        </w:rPr>
        <w:t>ISTOTNE POSTANOWIENIA UMOWY</w:t>
      </w:r>
    </w:p>
    <w:p w:rsidR="002C4983" w:rsidRPr="000B1ED1" w:rsidRDefault="002C4983" w:rsidP="002C4983">
      <w:pPr>
        <w:tabs>
          <w:tab w:val="center" w:pos="11520"/>
        </w:tabs>
        <w:jc w:val="center"/>
        <w:rPr>
          <w:rFonts w:ascii="Times New Roman" w:hAnsi="Times New Roman"/>
        </w:rPr>
      </w:pPr>
      <w:r w:rsidRPr="002C4983">
        <w:rPr>
          <w:rFonts w:ascii="Times New Roman" w:hAnsi="Times New Roman" w:cs="Times New Roman"/>
          <w:sz w:val="24"/>
          <w:szCs w:val="24"/>
        </w:rPr>
        <w:t xml:space="preserve">do postępowania nr </w:t>
      </w:r>
      <w:r w:rsidRPr="00386441">
        <w:rPr>
          <w:rFonts w:ascii="Times New Roman" w:hAnsi="Times New Roman"/>
        </w:rPr>
        <w:t>DZ</w:t>
      </w:r>
      <w:r>
        <w:rPr>
          <w:rFonts w:ascii="Times New Roman" w:hAnsi="Times New Roman"/>
        </w:rPr>
        <w:t>z</w:t>
      </w:r>
      <w:r w:rsidRPr="00386441">
        <w:rPr>
          <w:rFonts w:ascii="Times New Roman" w:hAnsi="Times New Roman"/>
        </w:rPr>
        <w:t>.380.2.</w:t>
      </w:r>
      <w:r>
        <w:rPr>
          <w:rFonts w:ascii="Times New Roman" w:hAnsi="Times New Roman"/>
        </w:rPr>
        <w:t>39</w:t>
      </w:r>
      <w:r w:rsidRPr="0038644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86441">
        <w:rPr>
          <w:rFonts w:ascii="Times New Roman" w:hAnsi="Times New Roman"/>
        </w:rPr>
        <w:t>.</w:t>
      </w:r>
      <w:r>
        <w:rPr>
          <w:rFonts w:ascii="Times New Roman" w:hAnsi="Times New Roman"/>
        </w:rPr>
        <w:t>DF</w:t>
      </w:r>
      <w:r w:rsidRPr="00386441">
        <w:rPr>
          <w:rFonts w:ascii="Times New Roman" w:hAnsi="Times New Roman"/>
        </w:rPr>
        <w:t>.</w:t>
      </w:r>
      <w:r>
        <w:rPr>
          <w:rFonts w:ascii="Times New Roman" w:hAnsi="Times New Roman"/>
        </w:rPr>
        <w:t>456</w:t>
      </w:r>
    </w:p>
    <w:p w:rsidR="00827227" w:rsidRPr="00827227" w:rsidRDefault="00827227" w:rsidP="0082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27227" w:rsidRPr="00827227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>Umowę przygotowuje Wykonawca w uzgodnieniu z Zamawiającym. Niniejsze postanowienia mają pierwszeństwo względem wszelkich postanowień umowy między Stronami, postanowień regulaminów, ogólnych warunków umów, tabeli opłat, taryfikatorów, innego rodzaju aktów wewnętrznych Wykonawcy mających zastosowanie w stosunku do jego klientów. W przypadku wystąpienia sprzeczności pomiędzy postanowieniami umowy, a powyższymi dokumentami, za obowiązujące i wiążące Strony uznaje się niniejsze postanowienia. Wszelkie prawa i obowiązki stron będą uregulowane wyłącznie w umowie. Poszczególne postanowienia ww. aktów</w:t>
      </w:r>
      <w:r>
        <w:rPr>
          <w:rFonts w:ascii="Times New Roman" w:hAnsi="Times New Roman" w:cs="Times New Roman"/>
        </w:rPr>
        <w:t xml:space="preserve"> </w:t>
      </w:r>
      <w:r w:rsidRPr="00827227">
        <w:rPr>
          <w:rFonts w:ascii="Times New Roman" w:hAnsi="Times New Roman" w:cs="Times New Roman"/>
        </w:rPr>
        <w:t>wewnętrznych Wykonawcy mające zastosowanie w stosunku do jego klientów dla</w:t>
      </w:r>
      <w:r>
        <w:rPr>
          <w:rFonts w:ascii="Times New Roman" w:hAnsi="Times New Roman" w:cs="Times New Roman"/>
        </w:rPr>
        <w:t xml:space="preserve"> </w:t>
      </w:r>
      <w:r w:rsidRPr="00827227">
        <w:rPr>
          <w:rFonts w:ascii="Times New Roman" w:hAnsi="Times New Roman" w:cs="Times New Roman"/>
        </w:rPr>
        <w:t>swej skuteczności wobec Stron umowy muszą zostać do niej przeniesione, także w formie załączników, stanowiących integralną część umowy.</w:t>
      </w:r>
    </w:p>
    <w:p w:rsidR="00827227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>Postanowienia umowne mogą być uzupełnione o zapisy wynikające z prawa bankowego lub regulaminu obowiązującego u Wykonawcy.</w:t>
      </w:r>
    </w:p>
    <w:p w:rsidR="00827227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 xml:space="preserve">Zamawiający zaakceptuje umowę pod warunkiem jej zgodności </w:t>
      </w:r>
      <w:r>
        <w:rPr>
          <w:rFonts w:ascii="Times New Roman" w:hAnsi="Times New Roman" w:cs="Times New Roman"/>
        </w:rPr>
        <w:t xml:space="preserve">z </w:t>
      </w:r>
      <w:r w:rsidRPr="00827227">
        <w:rPr>
          <w:rFonts w:ascii="Times New Roman" w:hAnsi="Times New Roman" w:cs="Times New Roman"/>
        </w:rPr>
        <w:t xml:space="preserve">warunkami zawartymi </w:t>
      </w:r>
      <w:r>
        <w:rPr>
          <w:rFonts w:ascii="Times New Roman" w:hAnsi="Times New Roman" w:cs="Times New Roman"/>
        </w:rPr>
        <w:t>w Formularzu oferty, który</w:t>
      </w:r>
      <w:r w:rsidRPr="00827227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Formularz oferty</w:t>
      </w:r>
      <w:r w:rsidRPr="00827227">
        <w:rPr>
          <w:rFonts w:ascii="Times New Roman" w:hAnsi="Times New Roman" w:cs="Times New Roman"/>
        </w:rPr>
        <w:t xml:space="preserve"> wraz z ofertą stanowi integralną część umowy.</w:t>
      </w:r>
    </w:p>
    <w:p w:rsidR="00827227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>W sprawach nieuregulowanych umową i Regulaminem usług obowiązujących u Wykonawcy, stosuje się właściwe przepisy prawa, a w szczególności przepisy Kodeksu cywilnego, Prawa bankowego, Prawa dewizowego wraz z przepisami</w:t>
      </w:r>
      <w:r>
        <w:rPr>
          <w:rFonts w:ascii="Times New Roman" w:hAnsi="Times New Roman" w:cs="Times New Roman"/>
        </w:rPr>
        <w:t xml:space="preserve"> </w:t>
      </w:r>
      <w:r w:rsidR="00960F4B">
        <w:rPr>
          <w:rFonts w:ascii="Times New Roman" w:hAnsi="Times New Roman" w:cs="Times New Roman"/>
        </w:rPr>
        <w:t>W</w:t>
      </w:r>
      <w:r w:rsidRPr="00827227">
        <w:rPr>
          <w:rFonts w:ascii="Times New Roman" w:hAnsi="Times New Roman" w:cs="Times New Roman"/>
        </w:rPr>
        <w:t>ykonawczymi.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Niedopuszczalne są takie zmiany postanowień zawartej umowy oraz wprowadzanie do niej nowych postanowień niekorzystnych dla Zamawiającego, jeżeli przy ich uwzględnieniu należałoby zmienić treść oferty, na podstawie, której dokonano wyboru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Wykonawcy chyba, że konieczność wprowadzenia takich zmian wynika z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okoliczności, których nie można było przewidzieć w chwili zawarcia umowy.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Zmiana postanowień umowy wymaga pisemnego aneksu pod rygorem nieważności,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za wyjątkiem zmiany stawki oprocentowania, która będzie dokonywana przez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 xml:space="preserve">Wykonawcę na podstawie pisemnych powiadomień </w:t>
      </w:r>
      <w:r w:rsidR="00850C0D" w:rsidRPr="00850C0D">
        <w:rPr>
          <w:rFonts w:ascii="Times New Roman" w:hAnsi="Times New Roman" w:cs="Times New Roman"/>
        </w:rPr>
        <w:br/>
      </w:r>
      <w:r w:rsidRPr="00850C0D">
        <w:rPr>
          <w:rFonts w:ascii="Times New Roman" w:hAnsi="Times New Roman" w:cs="Times New Roman"/>
        </w:rPr>
        <w:t>i nie będzie stanowiła zmiany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umowy.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Podstawą określenia wartości umowy jest formularz kalkulacyjny definiujący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oprocentowanie, rozumiane jako WIBOR 1 M + stała marża wynosząca …..% (wg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oferty – wartość wskazana w formularzu kalkulacyjnym pod tabelą) oraz prowizja w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wysokości ………….. zł (wg oferty – wartość wskazana w formularzu kalkulacyjnym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pod tabelą).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Zamawiający dopuszcza wprowadzenie do umowy postanowienia, zgodnie z którym</w:t>
      </w:r>
      <w:r w:rsidR="00850C0D" w:rsidRPr="00850C0D">
        <w:rPr>
          <w:rFonts w:ascii="Times New Roman" w:hAnsi="Times New Roman" w:cs="Times New Roman"/>
        </w:rPr>
        <w:t xml:space="preserve"> udostępnienie kwoty Z</w:t>
      </w:r>
      <w:r w:rsidRPr="00850C0D">
        <w:rPr>
          <w:rFonts w:ascii="Times New Roman" w:hAnsi="Times New Roman" w:cs="Times New Roman"/>
        </w:rPr>
        <w:t>amawiającemu nastąpi pod warunkiem uzyskania zgody NFZ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na cesję z kontraktu NFZ, ustanowioną w celu zabezpieczenia umowy, w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szczególności po dostarczeniu pisemnego potwierdzenia przez NFZ o przyjęciu do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realizacji cesji wierzytelności z kontraktu oraz ustanowieniu innych zabezpieczeń.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Zamawiający dopuszcza, aby umow</w:t>
      </w:r>
      <w:r w:rsidR="00850C0D" w:rsidRPr="00850C0D">
        <w:rPr>
          <w:rFonts w:ascii="Times New Roman" w:hAnsi="Times New Roman" w:cs="Times New Roman"/>
        </w:rPr>
        <w:t>a zobowiązywała Z</w:t>
      </w:r>
      <w:r w:rsidRPr="00850C0D">
        <w:rPr>
          <w:rFonts w:ascii="Times New Roman" w:hAnsi="Times New Roman" w:cs="Times New Roman"/>
        </w:rPr>
        <w:t>amawiającego -na żądanie</w:t>
      </w:r>
      <w:r w:rsidR="00850C0D" w:rsidRPr="00850C0D">
        <w:rPr>
          <w:rFonts w:ascii="Times New Roman" w:hAnsi="Times New Roman" w:cs="Times New Roman"/>
        </w:rPr>
        <w:t xml:space="preserve"> </w:t>
      </w:r>
      <w:r w:rsidR="00960F4B">
        <w:rPr>
          <w:rFonts w:ascii="Times New Roman" w:hAnsi="Times New Roman" w:cs="Times New Roman"/>
        </w:rPr>
        <w:t>Wykonawcy - do przedstawiania W</w:t>
      </w:r>
      <w:r w:rsidRPr="00850C0D">
        <w:rPr>
          <w:rFonts w:ascii="Times New Roman" w:hAnsi="Times New Roman" w:cs="Times New Roman"/>
        </w:rPr>
        <w:t>ykonawcy w okresach rocznych, w terminie do 30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lipca danego roku, sprawozdania finansowego za rok poprzedni (bilans, rachunek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zysków i strat, informacja dodatkowa) wraz ze sprawozdaniem biegłego rewidenta,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oraz uchwały o zatwierdzeniu sprawozdania finansowego i uchwały o podziale zysku.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Zamawiający może zobowiązać</w:t>
      </w:r>
      <w:r w:rsidR="00850C0D" w:rsidRPr="00850C0D">
        <w:rPr>
          <w:rFonts w:ascii="Times New Roman" w:hAnsi="Times New Roman" w:cs="Times New Roman"/>
        </w:rPr>
        <w:t xml:space="preserve"> się również do przedstawiania W</w:t>
      </w:r>
      <w:r w:rsidRPr="00850C0D">
        <w:rPr>
          <w:rFonts w:ascii="Times New Roman" w:hAnsi="Times New Roman" w:cs="Times New Roman"/>
        </w:rPr>
        <w:t>ykonawcy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kwartalnych danych finansowych, tj. bilans i rachunek zysków strat wg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obowiązującego wzoru określonego przez Urząd Marszałkowski Województwa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Śląskiego nie później niż w terminie 30 dni po upływie danego okresu. Poza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wskazanymi powyżej Zamawiający dopuszcza w tym zakresie tylko takie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postanowienia umowne, które zostaną zaakceptowane przez zamawiającego na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  <w:sz w:val="24"/>
          <w:szCs w:val="24"/>
        </w:rPr>
        <w:t>2</w:t>
      </w:r>
      <w:r w:rsidR="00850C0D" w:rsidRPr="00850C0D">
        <w:rPr>
          <w:rFonts w:ascii="Times New Roman" w:hAnsi="Times New Roman" w:cs="Times New Roman"/>
          <w:sz w:val="24"/>
          <w:szCs w:val="24"/>
        </w:rPr>
        <w:t xml:space="preserve"> </w:t>
      </w:r>
      <w:r w:rsidRPr="00850C0D">
        <w:rPr>
          <w:rFonts w:ascii="Times New Roman" w:hAnsi="Times New Roman" w:cs="Times New Roman"/>
        </w:rPr>
        <w:t>etapie zawierania umowy i wskazują na konkretny zakres dokumentów finansowych</w:t>
      </w:r>
      <w:r w:rsidR="00850C0D">
        <w:rPr>
          <w:rFonts w:ascii="Times New Roman" w:hAnsi="Times New Roman" w:cs="Times New Roman"/>
        </w:rPr>
        <w:t xml:space="preserve"> </w:t>
      </w:r>
      <w:r w:rsidR="00960F4B">
        <w:rPr>
          <w:rFonts w:ascii="Times New Roman" w:hAnsi="Times New Roman" w:cs="Times New Roman"/>
        </w:rPr>
        <w:t>koniecznych do przedłożenia W</w:t>
      </w:r>
      <w:r w:rsidRPr="00850C0D">
        <w:rPr>
          <w:rFonts w:ascii="Times New Roman" w:hAnsi="Times New Roman" w:cs="Times New Roman"/>
        </w:rPr>
        <w:t>ykonawcy w celu oceny zdolności kredytowej.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Zamawiający na dzień zawarcia umowy nie posiada wiedzy na temat planów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przekształcenia w spółkę prawa handlowego lub przejęcia zobowiązań powstałych w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wyniku likwidacji zakładu opieki zdrowotnej przez JST w trakcie okresu kredytowania.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Zamawiający dopuszcza zobowiązanie umowne polegające na powiadomieniu</w:t>
      </w:r>
      <w:r w:rsidR="00850C0D" w:rsidRPr="00850C0D">
        <w:rPr>
          <w:rFonts w:ascii="Times New Roman" w:hAnsi="Times New Roman" w:cs="Times New Roman"/>
        </w:rPr>
        <w:t xml:space="preserve"> </w:t>
      </w:r>
      <w:r w:rsidR="00960F4B">
        <w:rPr>
          <w:rFonts w:ascii="Times New Roman" w:hAnsi="Times New Roman" w:cs="Times New Roman"/>
        </w:rPr>
        <w:t>W</w:t>
      </w:r>
      <w:r w:rsidRPr="00850C0D">
        <w:rPr>
          <w:rFonts w:ascii="Times New Roman" w:hAnsi="Times New Roman" w:cs="Times New Roman"/>
        </w:rPr>
        <w:t>ykonawcy bez zbędnej zwłoki o zarządzeniu lub rozporządzeniu lub podjęciu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uchwały w sprawie przekształcenia zamawiającego w spółkę kapitałową.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lastRenderedPageBreak/>
        <w:t>Wykonawca może wypowiedzieć umowę za 2-miesięcznym okresem wypowiedzenia,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którego upływ liczony będzie na koniec miesiąca kalendarzowego z niżej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wymienionych powodów:</w:t>
      </w:r>
      <w:r w:rsidR="00850C0D" w:rsidRPr="00850C0D">
        <w:rPr>
          <w:rFonts w:ascii="Times New Roman" w:hAnsi="Times New Roman" w:cs="Times New Roman"/>
        </w:rPr>
        <w:t xml:space="preserve"> </w:t>
      </w:r>
    </w:p>
    <w:p w:rsidR="00850C0D" w:rsidRDefault="00827227" w:rsidP="0082722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Zamawiający nieterminowo reguluje zobowiązania z tytułu spłaty rat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kapitału i odsetek,</w:t>
      </w:r>
    </w:p>
    <w:p w:rsidR="00850C0D" w:rsidRDefault="00827227" w:rsidP="0082722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Kredyt lub pożyczka została wykorzystana niezgodnie z przeznaczeniem</w:t>
      </w:r>
      <w:r w:rsidR="00850C0D">
        <w:rPr>
          <w:rFonts w:ascii="Times New Roman" w:hAnsi="Times New Roman" w:cs="Times New Roman"/>
        </w:rPr>
        <w:t>,</w:t>
      </w:r>
    </w:p>
    <w:p w:rsidR="00850C0D" w:rsidRDefault="00827227" w:rsidP="0082722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Nastąpiło istotne pogorszenie sytuacji ekonomiczno-finansowej w stopniu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zagrażającym wypłacalności Zamawiającego lub możliwości dalszej spłaty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rat kapitałowych lub odsetek, a przedstawiony w następstwie powyższego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plan n</w:t>
      </w:r>
      <w:r w:rsidR="00850C0D">
        <w:rPr>
          <w:rFonts w:ascii="Times New Roman" w:hAnsi="Times New Roman" w:cs="Times New Roman"/>
        </w:rPr>
        <w:t>aprawczy nie zyskał akceptacji W</w:t>
      </w:r>
      <w:r w:rsidRPr="00850C0D">
        <w:rPr>
          <w:rFonts w:ascii="Times New Roman" w:hAnsi="Times New Roman" w:cs="Times New Roman"/>
        </w:rPr>
        <w:t>ykonawcy,</w:t>
      </w:r>
    </w:p>
    <w:p w:rsidR="00827227" w:rsidRPr="00850C0D" w:rsidRDefault="00827227" w:rsidP="0082722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Zabezpieczenia nie zostały ustanowione lub też obniżeniu uległa ich realna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wartość.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Ponadto Zamawiający z ważnych przyczyn może wypowiedzieć umowę za 2-miesięcznym okresem wypowiedzenia, którego upływ liczony będzie na koniec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miesiąca kalendarzowego.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Z zastrzeżeniem powyższych Zamawiający nie dopuszcza wprowadzenia do umowy</w:t>
      </w:r>
      <w:r w:rsidR="00850C0D" w:rsidRPr="00850C0D">
        <w:rPr>
          <w:rFonts w:ascii="Times New Roman" w:hAnsi="Times New Roman" w:cs="Times New Roman"/>
        </w:rPr>
        <w:t xml:space="preserve"> </w:t>
      </w:r>
      <w:r w:rsidR="00960F4B">
        <w:rPr>
          <w:rFonts w:ascii="Times New Roman" w:hAnsi="Times New Roman" w:cs="Times New Roman"/>
        </w:rPr>
        <w:t>postanowień uprawniających W</w:t>
      </w:r>
      <w:r w:rsidRPr="00850C0D">
        <w:rPr>
          <w:rFonts w:ascii="Times New Roman" w:hAnsi="Times New Roman" w:cs="Times New Roman"/>
        </w:rPr>
        <w:t>ykonawcę do rozwiązania umowy, wypowiedzenia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umowy lub umownego odstąpienia od umowy, chyba że na etapie postępowania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 xml:space="preserve">zaakceptuje proponowane przez </w:t>
      </w:r>
      <w:r w:rsidR="00960F4B">
        <w:rPr>
          <w:rFonts w:ascii="Times New Roman" w:hAnsi="Times New Roman" w:cs="Times New Roman"/>
        </w:rPr>
        <w:t>W</w:t>
      </w:r>
      <w:r w:rsidRPr="00850C0D">
        <w:rPr>
          <w:rFonts w:ascii="Times New Roman" w:hAnsi="Times New Roman" w:cs="Times New Roman"/>
        </w:rPr>
        <w:t>ykonawcę postanowienia umowne.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Cenami obowiązującymi są ceny brutto, które nie mogą ulec zmianie.</w:t>
      </w:r>
    </w:p>
    <w:p w:rsidR="00850C0D" w:rsidRDefault="00827227" w:rsidP="008272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0C0D">
        <w:rPr>
          <w:rFonts w:ascii="Times New Roman" w:hAnsi="Times New Roman" w:cs="Times New Roman"/>
        </w:rPr>
        <w:t>Wykonawca przyjmuje do wiadomości, zgodnie z art. 54 ust. 5 ustawy z dnia 15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kwietnia 2011 r. o działalności leczniczej, że czynność prawna mająca na celu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zmianę wierzyciela samodzielnego publicznego zakładu opieki zdrowotnej może</w:t>
      </w:r>
      <w:r w:rsidR="00850C0D" w:rsidRP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nastąpić po wyrażeniu zgody przez podmiot tworzący. Czynność prawna dokonana</w:t>
      </w:r>
      <w:r w:rsidR="00850C0D">
        <w:rPr>
          <w:rFonts w:ascii="Times New Roman" w:hAnsi="Times New Roman" w:cs="Times New Roman"/>
        </w:rPr>
        <w:t xml:space="preserve"> </w:t>
      </w:r>
      <w:r w:rsidRPr="00850C0D">
        <w:rPr>
          <w:rFonts w:ascii="Times New Roman" w:hAnsi="Times New Roman" w:cs="Times New Roman"/>
        </w:rPr>
        <w:t>bez zgody, o której mowa powyżej, jest nieważna.</w:t>
      </w:r>
    </w:p>
    <w:p w:rsidR="00850C0D" w:rsidRDefault="00850C0D" w:rsidP="00850C0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0C0D" w:rsidRDefault="00850C0D" w:rsidP="00850C0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0C0D" w:rsidRDefault="00850C0D" w:rsidP="00850C0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0C0D" w:rsidRPr="00850C0D" w:rsidRDefault="00850C0D" w:rsidP="00850C0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0C0D" w:rsidRDefault="00827227" w:rsidP="00850C0D">
      <w:pPr>
        <w:autoSpaceDE w:val="0"/>
        <w:autoSpaceDN w:val="0"/>
        <w:adjustRightInd w:val="0"/>
        <w:spacing w:after="0" w:line="240" w:lineRule="auto"/>
        <w:ind w:left="3686" w:firstLine="708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>W imieniu Wykonawcy potwierdzam</w:t>
      </w:r>
      <w:r w:rsidR="00850C0D">
        <w:rPr>
          <w:rFonts w:ascii="Times New Roman" w:hAnsi="Times New Roman" w:cs="Times New Roman"/>
        </w:rPr>
        <w:t xml:space="preserve"> </w:t>
      </w:r>
      <w:r w:rsidRPr="00827227">
        <w:rPr>
          <w:rFonts w:ascii="Times New Roman" w:hAnsi="Times New Roman" w:cs="Times New Roman"/>
        </w:rPr>
        <w:t xml:space="preserve">akceptację </w:t>
      </w:r>
    </w:p>
    <w:p w:rsidR="00827227" w:rsidRDefault="00850C0D" w:rsidP="00850C0D">
      <w:pPr>
        <w:autoSpaceDE w:val="0"/>
        <w:autoSpaceDN w:val="0"/>
        <w:adjustRightInd w:val="0"/>
        <w:spacing w:after="0" w:line="240" w:lineRule="auto"/>
        <w:ind w:left="368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27227" w:rsidRPr="00827227">
        <w:rPr>
          <w:rFonts w:ascii="Times New Roman" w:hAnsi="Times New Roman" w:cs="Times New Roman"/>
        </w:rPr>
        <w:t>istotnych postanowień umowy</w:t>
      </w:r>
    </w:p>
    <w:p w:rsidR="00850C0D" w:rsidRPr="00827227" w:rsidRDefault="00850C0D" w:rsidP="00850C0D">
      <w:pPr>
        <w:autoSpaceDE w:val="0"/>
        <w:autoSpaceDN w:val="0"/>
        <w:adjustRightInd w:val="0"/>
        <w:spacing w:after="0" w:line="240" w:lineRule="auto"/>
        <w:ind w:left="3686" w:firstLine="708"/>
        <w:jc w:val="both"/>
        <w:rPr>
          <w:rFonts w:ascii="Times New Roman" w:hAnsi="Times New Roman" w:cs="Times New Roman"/>
        </w:rPr>
      </w:pPr>
    </w:p>
    <w:p w:rsidR="00827227" w:rsidRPr="00827227" w:rsidRDefault="00827227" w:rsidP="00850C0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>……….........................................................</w:t>
      </w:r>
    </w:p>
    <w:p w:rsidR="00827227" w:rsidRPr="00827227" w:rsidRDefault="00827227" w:rsidP="00850C0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827227">
        <w:rPr>
          <w:rFonts w:ascii="Times New Roman" w:hAnsi="Times New Roman" w:cs="Times New Roman"/>
        </w:rPr>
        <w:t>(podpisy i pieczęcie osób upoważnionych</w:t>
      </w:r>
    </w:p>
    <w:p w:rsidR="00A012AF" w:rsidRPr="00827227" w:rsidRDefault="00960F4B" w:rsidP="00850C0D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 reprezentowania W</w:t>
      </w:r>
      <w:r w:rsidR="00827227" w:rsidRPr="00827227">
        <w:rPr>
          <w:rFonts w:ascii="Times New Roman" w:hAnsi="Times New Roman" w:cs="Times New Roman"/>
        </w:rPr>
        <w:t>ykonawcy)</w:t>
      </w:r>
    </w:p>
    <w:sectPr w:rsidR="00A012AF" w:rsidRPr="00827227" w:rsidSect="0082722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120"/>
    <w:multiLevelType w:val="hybridMultilevel"/>
    <w:tmpl w:val="5A40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4880"/>
    <w:multiLevelType w:val="hybridMultilevel"/>
    <w:tmpl w:val="353CD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6BC522D"/>
    <w:multiLevelType w:val="hybridMultilevel"/>
    <w:tmpl w:val="318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FA63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27"/>
    <w:rsid w:val="001647CC"/>
    <w:rsid w:val="002C4983"/>
    <w:rsid w:val="004259E4"/>
    <w:rsid w:val="00827227"/>
    <w:rsid w:val="00850C0D"/>
    <w:rsid w:val="00960F4B"/>
    <w:rsid w:val="00A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C955-7F64-463D-AE7C-439494D5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2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office3</dc:creator>
  <cp:keywords/>
  <dc:description/>
  <cp:lastModifiedBy>konto office3</cp:lastModifiedBy>
  <cp:revision>3</cp:revision>
  <cp:lastPrinted>2020-01-08T09:49:00Z</cp:lastPrinted>
  <dcterms:created xsi:type="dcterms:W3CDTF">2019-12-27T12:11:00Z</dcterms:created>
  <dcterms:modified xsi:type="dcterms:W3CDTF">2020-01-08T09:51:00Z</dcterms:modified>
</cp:coreProperties>
</file>