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53F3A" w14:textId="77777777" w:rsidR="00690A18" w:rsidRDefault="00690A18" w:rsidP="00690A18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noProof/>
          <w:lang w:val="pl-PL"/>
        </w:rPr>
        <w:drawing>
          <wp:inline distT="0" distB="0" distL="0" distR="0" wp14:anchorId="52789525" wp14:editId="76FE81DB">
            <wp:extent cx="5760720" cy="775970"/>
            <wp:effectExtent l="0" t="0" r="0" b="5080"/>
            <wp:docPr id="1367795886" name="Obraz 2" descr="Obraz zawierający tekst, zrzut ekranu, Czcion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95886" name="Obraz 2" descr="Obraz zawierający tekst, zrzut ekranu, Czcion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77061" w14:textId="77777777" w:rsidR="002C7622" w:rsidRPr="009A19ED" w:rsidRDefault="002C7622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ZAŁĄCZNIK NR 4A</w:t>
      </w:r>
      <w:r w:rsidRPr="009A19ED">
        <w:rPr>
          <w:b/>
          <w:color w:val="000000" w:themeColor="text1"/>
          <w:spacing w:val="20"/>
          <w:sz w:val="24"/>
          <w:szCs w:val="24"/>
        </w:rPr>
        <w:t xml:space="preserve"> DO SWZ</w:t>
      </w:r>
    </w:p>
    <w:p w14:paraId="26DF310D" w14:textId="77777777" w:rsidR="002C7622" w:rsidRPr="009A19ED" w:rsidRDefault="002C7622" w:rsidP="002C7622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9A19ED">
        <w:rPr>
          <w:b/>
          <w:color w:val="00B050"/>
          <w:spacing w:val="20"/>
          <w:sz w:val="24"/>
          <w:szCs w:val="24"/>
        </w:rPr>
        <w:t>OŚWIADCZENIE SKŁADANE WRAZ Z OFERTĄ</w:t>
      </w:r>
      <w:r>
        <w:rPr>
          <w:b/>
          <w:color w:val="00B050"/>
          <w:spacing w:val="20"/>
          <w:sz w:val="24"/>
          <w:szCs w:val="24"/>
        </w:rPr>
        <w:br/>
        <w:t>(PRZEDMIOTOWY ŚRODEK DOWODOWY)</w:t>
      </w:r>
    </w:p>
    <w:p w14:paraId="5B698435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9A19ED">
        <w:rPr>
          <w:b/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622" w14:paraId="30298C19" w14:textId="77777777" w:rsidTr="00676DDE">
        <w:trPr>
          <w:trHeight w:val="373"/>
        </w:trPr>
        <w:tc>
          <w:tcPr>
            <w:tcW w:w="9065" w:type="dxa"/>
          </w:tcPr>
          <w:p w14:paraId="7A01BFD7" w14:textId="77777777" w:rsidR="002C7622" w:rsidRDefault="002C7622" w:rsidP="00676DDE">
            <w:pPr>
              <w:spacing w:line="276" w:lineRule="auto"/>
              <w:rPr>
                <w:b/>
                <w:color w:val="000000" w:themeColor="text1"/>
                <w:spacing w:val="20"/>
                <w:sz w:val="24"/>
                <w:szCs w:val="24"/>
              </w:rPr>
            </w:pPr>
          </w:p>
        </w:tc>
      </w:tr>
    </w:tbl>
    <w:p w14:paraId="44F071A0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</w:p>
    <w:p w14:paraId="5743D918" w14:textId="77777777" w:rsidR="002C7622" w:rsidRPr="00DB425F" w:rsidRDefault="002C7622" w:rsidP="002C7622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>Oświadczenie</w:t>
      </w:r>
    </w:p>
    <w:p w14:paraId="60EC62FB" w14:textId="333CDFE3" w:rsidR="002C7622" w:rsidRDefault="002C7622" w:rsidP="002C7622">
      <w:pPr>
        <w:spacing w:line="276" w:lineRule="auto"/>
        <w:jc w:val="center"/>
        <w:rPr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 xml:space="preserve">dot. potwierdzenia </w:t>
      </w:r>
      <w:r>
        <w:rPr>
          <w:b/>
          <w:bCs/>
          <w:spacing w:val="20"/>
          <w:sz w:val="24"/>
          <w:szCs w:val="24"/>
        </w:rPr>
        <w:t xml:space="preserve">parametrów </w:t>
      </w:r>
      <w:r w:rsidRPr="000A2968">
        <w:rPr>
          <w:b/>
          <w:color w:val="000000" w:themeColor="text1"/>
          <w:spacing w:val="20"/>
          <w:sz w:val="24"/>
          <w:szCs w:val="24"/>
        </w:rPr>
        <w:t>technicznych oferowanego sprzętu komputerowego z minimalnymi wymagania Zamawiającego</w:t>
      </w:r>
      <w:r>
        <w:rPr>
          <w:b/>
          <w:bCs/>
          <w:spacing w:val="20"/>
          <w:sz w:val="24"/>
          <w:szCs w:val="24"/>
        </w:rPr>
        <w:t xml:space="preserve">, </w:t>
      </w:r>
      <w:r w:rsidRPr="00DB425F">
        <w:rPr>
          <w:b/>
          <w:bCs/>
          <w:spacing w:val="20"/>
          <w:sz w:val="24"/>
          <w:szCs w:val="24"/>
        </w:rPr>
        <w:t xml:space="preserve">składane w postępowaniu o udzielenie zamówienia publicznego pod nazwą: </w:t>
      </w:r>
      <w:r w:rsidR="006E0F87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 w:rsidR="006E0F87"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="006E0F87"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="006E0F87"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="006E0F87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 w:rsidR="006E0F87"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="006E0F87"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  <w:r>
        <w:rPr>
          <w:b/>
          <w:color w:val="000000"/>
          <w:spacing w:val="20"/>
          <w:sz w:val="24"/>
          <w:szCs w:val="24"/>
        </w:rPr>
        <w:t>.</w:t>
      </w:r>
      <w:r>
        <w:rPr>
          <w:b/>
          <w:color w:val="000000"/>
          <w:spacing w:val="20"/>
          <w:sz w:val="24"/>
          <w:szCs w:val="24"/>
        </w:rPr>
        <w:br/>
      </w: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5245"/>
        <w:gridCol w:w="2126"/>
      </w:tblGrid>
      <w:tr w:rsidR="000C3D20" w:rsidRPr="00BD0C9F" w14:paraId="3789B322" w14:textId="77777777" w:rsidTr="000C3D20">
        <w:trPr>
          <w:trHeight w:val="535"/>
        </w:trPr>
        <w:tc>
          <w:tcPr>
            <w:tcW w:w="851" w:type="dxa"/>
            <w:shd w:val="clear" w:color="auto" w:fill="F2F2F2" w:themeFill="background1" w:themeFillShade="F2"/>
          </w:tcPr>
          <w:p w14:paraId="6D3AF2D1" w14:textId="77777777" w:rsidR="000C3D20" w:rsidRPr="002C7622" w:rsidRDefault="000C3D20" w:rsidP="002C7622">
            <w:pPr>
              <w:spacing w:line="276" w:lineRule="auto"/>
              <w:ind w:right="640"/>
              <w:jc w:val="center"/>
              <w:rPr>
                <w:b/>
                <w:spacing w:val="20"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shd w:val="clear" w:color="auto" w:fill="F2F2F2" w:themeFill="background1" w:themeFillShade="F2"/>
          </w:tcPr>
          <w:p w14:paraId="679E1B49" w14:textId="5B2D203F" w:rsidR="000C3D20" w:rsidRPr="002C7622" w:rsidRDefault="000C3D20" w:rsidP="002C7622">
            <w:pPr>
              <w:spacing w:line="276" w:lineRule="auto"/>
              <w:ind w:right="640"/>
              <w:jc w:val="center"/>
              <w:rPr>
                <w:b/>
                <w:spacing w:val="20"/>
                <w:sz w:val="24"/>
                <w:szCs w:val="24"/>
              </w:rPr>
            </w:pPr>
            <w:r w:rsidRPr="002C7622">
              <w:rPr>
                <w:b/>
                <w:spacing w:val="20"/>
                <w:sz w:val="24"/>
                <w:szCs w:val="24"/>
              </w:rPr>
              <w:t xml:space="preserve">TABELA A – serwer </w:t>
            </w:r>
            <w:proofErr w:type="spellStart"/>
            <w:r w:rsidRPr="002C7622">
              <w:rPr>
                <w:b/>
                <w:spacing w:val="20"/>
                <w:sz w:val="24"/>
                <w:szCs w:val="24"/>
              </w:rPr>
              <w:t>rack</w:t>
            </w:r>
            <w:proofErr w:type="spellEnd"/>
          </w:p>
        </w:tc>
      </w:tr>
      <w:tr w:rsidR="000C3D20" w:rsidRPr="00BD0C9F" w14:paraId="365066FE" w14:textId="77777777" w:rsidTr="000C3D20">
        <w:trPr>
          <w:trHeight w:val="389"/>
        </w:trPr>
        <w:tc>
          <w:tcPr>
            <w:tcW w:w="851" w:type="dxa"/>
            <w:shd w:val="clear" w:color="auto" w:fill="D9D9D9" w:themeFill="background1" w:themeFillShade="D9"/>
          </w:tcPr>
          <w:p w14:paraId="60DCD741" w14:textId="7860B3F1" w:rsidR="000C3D20" w:rsidRPr="002C7622" w:rsidRDefault="000C3D20" w:rsidP="002C7622">
            <w:pPr>
              <w:spacing w:line="276" w:lineRule="auto"/>
              <w:ind w:right="264"/>
              <w:rPr>
                <w:spacing w:val="20"/>
              </w:rPr>
            </w:pPr>
            <w:r>
              <w:rPr>
                <w:spacing w:val="20"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8AA039B" w14:textId="09822547" w:rsidR="000C3D20" w:rsidRPr="002C7622" w:rsidRDefault="000C3D20" w:rsidP="002C7622">
            <w:pPr>
              <w:spacing w:line="276" w:lineRule="auto"/>
              <w:ind w:right="264"/>
              <w:rPr>
                <w:spacing w:val="20"/>
              </w:rPr>
            </w:pPr>
            <w:r w:rsidRPr="002C7622">
              <w:rPr>
                <w:spacing w:val="20"/>
              </w:rPr>
              <w:t>Nazwa komponentu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6D592C7E" w14:textId="42901198" w:rsidR="000C3D20" w:rsidRPr="002C7622" w:rsidRDefault="000C3D20" w:rsidP="002C7622">
            <w:pPr>
              <w:spacing w:line="276" w:lineRule="auto"/>
              <w:rPr>
                <w:spacing w:val="20"/>
              </w:rPr>
            </w:pPr>
            <w:r w:rsidRPr="00065188">
              <w:rPr>
                <w:spacing w:val="20"/>
              </w:rPr>
              <w:t>Minimalne wymagania techniczne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 w:rsidRPr="002C7622">
              <w:rPr>
                <w:spacing w:val="20"/>
              </w:rPr>
              <w:t>serwera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10CE027" w14:textId="77777777" w:rsidR="000C3D20" w:rsidRPr="00BD0C9F" w:rsidRDefault="000C3D20" w:rsidP="00676DDE">
            <w:pPr>
              <w:spacing w:line="276" w:lineRule="auto"/>
              <w:rPr>
                <w:rFonts w:ascii="Calibri" w:hAnsi="Calibri" w:cs="Calibri"/>
                <w:spacing w:val="20"/>
                <w:sz w:val="24"/>
                <w:szCs w:val="24"/>
              </w:rPr>
            </w:pPr>
            <w:r w:rsidRPr="00BD0C9F">
              <w:rPr>
                <w:rFonts w:ascii="Calibri" w:hAnsi="Calibri" w:cs="Calibri"/>
                <w:spacing w:val="20"/>
                <w:sz w:val="24"/>
                <w:szCs w:val="24"/>
              </w:rPr>
              <w:t>Oferowane parametry przez Wykonawcę</w:t>
            </w:r>
          </w:p>
          <w:p w14:paraId="35FFEDBE" w14:textId="77777777" w:rsidR="000C3D20" w:rsidRPr="00BD0C9F" w:rsidRDefault="000C3D20" w:rsidP="00676DDE">
            <w:pPr>
              <w:spacing w:line="276" w:lineRule="auto"/>
              <w:rPr>
                <w:rFonts w:ascii="Calibri" w:hAnsi="Calibri" w:cs="Calibri"/>
                <w:spacing w:val="20"/>
                <w:sz w:val="24"/>
                <w:szCs w:val="24"/>
              </w:rPr>
            </w:pPr>
            <w:r w:rsidRPr="00BD0C9F">
              <w:rPr>
                <w:rFonts w:ascii="Calibri" w:hAnsi="Calibri" w:cs="Calibri"/>
                <w:spacing w:val="20"/>
                <w:sz w:val="24"/>
                <w:szCs w:val="24"/>
              </w:rPr>
              <w:t>(*niepotrzebne skreślić lub usunąć)</w:t>
            </w:r>
          </w:p>
        </w:tc>
      </w:tr>
      <w:tr w:rsidR="000C3D20" w:rsidRPr="00BD0C9F" w14:paraId="46AB9A24" w14:textId="77777777" w:rsidTr="000C3D20">
        <w:trPr>
          <w:trHeight w:val="389"/>
        </w:trPr>
        <w:tc>
          <w:tcPr>
            <w:tcW w:w="851" w:type="dxa"/>
            <w:shd w:val="clear" w:color="auto" w:fill="D9D9D9" w:themeFill="background1" w:themeFillShade="D9"/>
          </w:tcPr>
          <w:p w14:paraId="4E86762F" w14:textId="3AF442EA" w:rsidR="000C3D20" w:rsidRPr="00D13B95" w:rsidRDefault="000C3D20" w:rsidP="00D13B95">
            <w:pPr>
              <w:spacing w:line="276" w:lineRule="auto"/>
              <w:ind w:right="264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58BF75D" w14:textId="1DA88C3F" w:rsidR="000C3D20" w:rsidRPr="00D13B95" w:rsidRDefault="000C3D20" w:rsidP="00D13B95">
            <w:pPr>
              <w:spacing w:line="276" w:lineRule="auto"/>
              <w:ind w:right="264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259D8381" w14:textId="7B2BAFBD" w:rsidR="000C3D20" w:rsidRPr="00D13B95" w:rsidRDefault="000C3D20" w:rsidP="00D13B95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3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6CAA1BD" w14:textId="73BFFF4C" w:rsidR="000C3D20" w:rsidRPr="00D13B95" w:rsidRDefault="000C3D20" w:rsidP="00D13B95">
            <w:pPr>
              <w:spacing w:line="276" w:lineRule="auto"/>
              <w:jc w:val="center"/>
              <w:rPr>
                <w:rFonts w:ascii="Calibri" w:hAnsi="Calibri" w:cs="Calibri"/>
                <w:b/>
                <w:spacing w:val="2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pacing w:val="20"/>
                <w:sz w:val="24"/>
                <w:szCs w:val="24"/>
              </w:rPr>
              <w:t>4</w:t>
            </w:r>
          </w:p>
        </w:tc>
      </w:tr>
      <w:tr w:rsidR="000C3D20" w:rsidRPr="00143E90" w14:paraId="15DE4CB0" w14:textId="77777777" w:rsidTr="000C3D20">
        <w:trPr>
          <w:trHeight w:val="515"/>
        </w:trPr>
        <w:tc>
          <w:tcPr>
            <w:tcW w:w="851" w:type="dxa"/>
            <w:vMerge w:val="restart"/>
          </w:tcPr>
          <w:p w14:paraId="08438BD7" w14:textId="73716EAB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1.</w:t>
            </w:r>
          </w:p>
        </w:tc>
        <w:tc>
          <w:tcPr>
            <w:tcW w:w="2126" w:type="dxa"/>
            <w:vMerge w:val="restart"/>
          </w:tcPr>
          <w:p w14:paraId="40451FAF" w14:textId="369B8B80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Typ</w:t>
            </w:r>
          </w:p>
        </w:tc>
        <w:tc>
          <w:tcPr>
            <w:tcW w:w="5245" w:type="dxa"/>
            <w:vMerge w:val="restart"/>
          </w:tcPr>
          <w:p w14:paraId="36DD56CA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Serwer </w:t>
            </w:r>
            <w:proofErr w:type="spellStart"/>
            <w:r w:rsidRPr="00143E90">
              <w:rPr>
                <w:spacing w:val="20"/>
              </w:rPr>
              <w:t>rack</w:t>
            </w:r>
            <w:proofErr w:type="spellEnd"/>
          </w:p>
        </w:tc>
        <w:tc>
          <w:tcPr>
            <w:tcW w:w="2126" w:type="dxa"/>
          </w:tcPr>
          <w:p w14:paraId="64575188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Producent:</w:t>
            </w:r>
          </w:p>
          <w:p w14:paraId="04DFB98F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</w:p>
        </w:tc>
      </w:tr>
      <w:tr w:rsidR="000C3D20" w:rsidRPr="00143E90" w14:paraId="4E115AB7" w14:textId="77777777" w:rsidTr="000C3D20">
        <w:trPr>
          <w:trHeight w:val="350"/>
        </w:trPr>
        <w:tc>
          <w:tcPr>
            <w:tcW w:w="851" w:type="dxa"/>
            <w:vMerge/>
          </w:tcPr>
          <w:p w14:paraId="5571F902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</w:p>
        </w:tc>
        <w:tc>
          <w:tcPr>
            <w:tcW w:w="2126" w:type="dxa"/>
            <w:vMerge/>
          </w:tcPr>
          <w:p w14:paraId="0C30B616" w14:textId="275DD2F0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</w:p>
        </w:tc>
        <w:tc>
          <w:tcPr>
            <w:tcW w:w="5245" w:type="dxa"/>
            <w:vMerge/>
          </w:tcPr>
          <w:p w14:paraId="43C61BAB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220595F" w14:textId="77777777" w:rsidR="000C3D20" w:rsidRPr="00143E90" w:rsidRDefault="000C3D20" w:rsidP="00676DDE">
            <w:pPr>
              <w:tabs>
                <w:tab w:val="left" w:pos="-293"/>
                <w:tab w:val="left" w:pos="699"/>
              </w:tabs>
              <w:spacing w:line="276" w:lineRule="auto"/>
              <w:ind w:left="-293" w:right="640" w:firstLine="293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Model:</w:t>
            </w:r>
          </w:p>
        </w:tc>
      </w:tr>
      <w:tr w:rsidR="000C3D20" w:rsidRPr="00143E90" w14:paraId="27836542" w14:textId="77777777" w:rsidTr="000C3D20">
        <w:trPr>
          <w:trHeight w:val="410"/>
        </w:trPr>
        <w:tc>
          <w:tcPr>
            <w:tcW w:w="851" w:type="dxa"/>
            <w:vMerge w:val="restart"/>
          </w:tcPr>
          <w:p w14:paraId="256F7763" w14:textId="27F02248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2.</w:t>
            </w:r>
          </w:p>
        </w:tc>
        <w:tc>
          <w:tcPr>
            <w:tcW w:w="2126" w:type="dxa"/>
            <w:vMerge w:val="restart"/>
          </w:tcPr>
          <w:p w14:paraId="0AD20A15" w14:textId="4198FEB0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Obudowa</w:t>
            </w:r>
          </w:p>
        </w:tc>
        <w:tc>
          <w:tcPr>
            <w:tcW w:w="5245" w:type="dxa"/>
          </w:tcPr>
          <w:p w14:paraId="36D974D0" w14:textId="77777777" w:rsidR="000C3D20" w:rsidRPr="00143E90" w:rsidRDefault="000C3D20" w:rsidP="002C7622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143E90">
              <w:rPr>
                <w:color w:val="000000"/>
                <w:spacing w:val="20"/>
              </w:rPr>
              <w:t xml:space="preserve">Obudowa </w:t>
            </w:r>
            <w:proofErr w:type="spellStart"/>
            <w:r w:rsidRPr="00143E90">
              <w:rPr>
                <w:color w:val="000000"/>
                <w:spacing w:val="20"/>
              </w:rPr>
              <w:t>Rack</w:t>
            </w:r>
            <w:proofErr w:type="spellEnd"/>
            <w:r w:rsidRPr="00143E90">
              <w:rPr>
                <w:color w:val="000000"/>
                <w:spacing w:val="20"/>
              </w:rPr>
              <w:t xml:space="preserve"> o wysokości max 1U</w:t>
            </w:r>
          </w:p>
        </w:tc>
        <w:tc>
          <w:tcPr>
            <w:tcW w:w="2126" w:type="dxa"/>
          </w:tcPr>
          <w:p w14:paraId="4F631758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02E3E198" w14:textId="77777777" w:rsidTr="000C3D20">
        <w:trPr>
          <w:trHeight w:val="1861"/>
        </w:trPr>
        <w:tc>
          <w:tcPr>
            <w:tcW w:w="851" w:type="dxa"/>
            <w:vMerge/>
          </w:tcPr>
          <w:p w14:paraId="0560775F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</w:p>
        </w:tc>
        <w:tc>
          <w:tcPr>
            <w:tcW w:w="2126" w:type="dxa"/>
            <w:vMerge/>
          </w:tcPr>
          <w:p w14:paraId="76D06A18" w14:textId="4043D573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</w:p>
        </w:tc>
        <w:tc>
          <w:tcPr>
            <w:tcW w:w="5245" w:type="dxa"/>
          </w:tcPr>
          <w:p w14:paraId="348301BF" w14:textId="77777777" w:rsidR="000C3D20" w:rsidRPr="00143E90" w:rsidRDefault="000C3D20" w:rsidP="002C7622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color w:val="000000"/>
                <w:spacing w:val="20"/>
              </w:rPr>
              <w:t>Obudowa</w:t>
            </w:r>
            <w:r w:rsidRPr="00143E90">
              <w:rPr>
                <w:bCs/>
                <w:spacing w:val="20"/>
              </w:rPr>
              <w:t xml:space="preserve"> </w:t>
            </w:r>
            <w:r w:rsidRPr="00143E90">
              <w:rPr>
                <w:color w:val="000000"/>
                <w:spacing w:val="20"/>
              </w:rPr>
              <w:t>z możliwością wyposażenia w panel LCD umieszczony na froncie obudowy,</w:t>
            </w:r>
          </w:p>
          <w:p w14:paraId="20E6CCF0" w14:textId="77777777" w:rsidR="000C3D20" w:rsidRPr="00143E90" w:rsidRDefault="000C3D20" w:rsidP="002C7622">
            <w:pPr>
              <w:pStyle w:val="Akapitzlist"/>
              <w:numPr>
                <w:ilvl w:val="0"/>
                <w:numId w:val="8"/>
              </w:numPr>
              <w:spacing w:line="276" w:lineRule="auto"/>
              <w:jc w:val="left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  <w:lang w:val="pl"/>
              </w:rPr>
              <w:t>Identyfikacja stanu serwera</w:t>
            </w:r>
          </w:p>
          <w:p w14:paraId="5150D0C7" w14:textId="77777777" w:rsidR="000C3D20" w:rsidRPr="00143E90" w:rsidRDefault="000C3D20" w:rsidP="002C7622">
            <w:pPr>
              <w:pStyle w:val="Akapitzlist"/>
              <w:numPr>
                <w:ilvl w:val="0"/>
                <w:numId w:val="8"/>
              </w:numPr>
              <w:spacing w:line="276" w:lineRule="auto"/>
              <w:jc w:val="left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Wyświetlanie  podstawowych stanów działania serwera</w:t>
            </w:r>
            <w:r w:rsidRPr="00143E90">
              <w:rPr>
                <w:rFonts w:ascii="Arial" w:hAnsi="Arial" w:cs="Arial"/>
                <w:b/>
                <w:bCs/>
                <w:color w:val="000000"/>
                <w:spacing w:val="20"/>
              </w:rPr>
              <w:t> 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t>w tym adres IP karty zarządzającej</w:t>
            </w:r>
          </w:p>
        </w:tc>
        <w:tc>
          <w:tcPr>
            <w:tcW w:w="2126" w:type="dxa"/>
          </w:tcPr>
          <w:p w14:paraId="246647F9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25649394" w14:textId="77777777" w:rsidTr="000C3D20">
        <w:trPr>
          <w:trHeight w:val="1460"/>
        </w:trPr>
        <w:tc>
          <w:tcPr>
            <w:tcW w:w="851" w:type="dxa"/>
          </w:tcPr>
          <w:p w14:paraId="2AC677D6" w14:textId="77CB0F5E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lastRenderedPageBreak/>
              <w:t>3.</w:t>
            </w:r>
          </w:p>
        </w:tc>
        <w:tc>
          <w:tcPr>
            <w:tcW w:w="2126" w:type="dxa"/>
          </w:tcPr>
          <w:p w14:paraId="7B52384A" w14:textId="60D01BC6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Płyta główna</w:t>
            </w:r>
          </w:p>
        </w:tc>
        <w:tc>
          <w:tcPr>
            <w:tcW w:w="5245" w:type="dxa"/>
          </w:tcPr>
          <w:p w14:paraId="1C46784E" w14:textId="77777777" w:rsidR="000C3D20" w:rsidRPr="00143E90" w:rsidRDefault="000C3D20" w:rsidP="002C7622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color w:val="000000"/>
                <w:spacing w:val="20"/>
              </w:rPr>
              <w:t xml:space="preserve">-Płyta główna z możliwością zainstalowania do dwóch fizycznych procesorów. </w:t>
            </w:r>
          </w:p>
          <w:p w14:paraId="568217D5" w14:textId="77777777" w:rsidR="000C3D20" w:rsidRPr="00143E90" w:rsidRDefault="000C3D20" w:rsidP="002C7622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spacing w:val="20"/>
              </w:rPr>
              <w:t>-Obsługa procesorów 56 rdzeniowych.</w:t>
            </w:r>
            <w:r w:rsidRPr="00143E90">
              <w:rPr>
                <w:color w:val="000000"/>
                <w:spacing w:val="20"/>
              </w:rPr>
              <w:t xml:space="preserve"> </w:t>
            </w:r>
          </w:p>
          <w:p w14:paraId="57D93BDE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color w:val="000000"/>
                <w:spacing w:val="20"/>
              </w:rPr>
              <w:t>-Płyta główna musi być zaprojektowana przez producenta serwera i oznaczona jego znakiem firmowym.</w:t>
            </w:r>
            <w:r w:rsidRPr="00143E90">
              <w:rPr>
                <w:spacing w:val="20"/>
              </w:rPr>
              <w:t xml:space="preserve"> </w:t>
            </w:r>
          </w:p>
          <w:p w14:paraId="43DA864B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-Na płycie głównej powinny znajdować się minimum 32 </w:t>
            </w:r>
            <w:proofErr w:type="spellStart"/>
            <w:r w:rsidRPr="00143E90">
              <w:rPr>
                <w:spacing w:val="20"/>
              </w:rPr>
              <w:t>sloty</w:t>
            </w:r>
            <w:proofErr w:type="spellEnd"/>
            <w:r w:rsidRPr="00143E90">
              <w:rPr>
                <w:spacing w:val="20"/>
              </w:rPr>
              <w:t xml:space="preserve"> przeznaczone do instalacji pamięci. </w:t>
            </w:r>
          </w:p>
          <w:p w14:paraId="315ED280" w14:textId="77777777" w:rsidR="000C3D20" w:rsidRPr="00143E90" w:rsidRDefault="000C3D20" w:rsidP="002C7622">
            <w:pPr>
              <w:spacing w:line="276" w:lineRule="auto"/>
              <w:rPr>
                <w:bCs/>
                <w:spacing w:val="20"/>
              </w:rPr>
            </w:pPr>
            <w:r w:rsidRPr="00143E90">
              <w:rPr>
                <w:spacing w:val="20"/>
                <w:lang w:val="pl-PL"/>
              </w:rPr>
              <w:t>-Płyta główna powinna obsługiwać do 8TB pamięci RAM</w:t>
            </w:r>
          </w:p>
        </w:tc>
        <w:tc>
          <w:tcPr>
            <w:tcW w:w="2126" w:type="dxa"/>
          </w:tcPr>
          <w:p w14:paraId="1DBE3784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7A26831D" w14:textId="77777777" w:rsidTr="000C3D20">
        <w:trPr>
          <w:trHeight w:val="861"/>
        </w:trPr>
        <w:tc>
          <w:tcPr>
            <w:tcW w:w="851" w:type="dxa"/>
          </w:tcPr>
          <w:p w14:paraId="08D72162" w14:textId="1F221CA0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4.</w:t>
            </w:r>
          </w:p>
        </w:tc>
        <w:tc>
          <w:tcPr>
            <w:tcW w:w="2126" w:type="dxa"/>
          </w:tcPr>
          <w:p w14:paraId="1E7E5954" w14:textId="1AF01EB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Chipset</w:t>
            </w:r>
          </w:p>
        </w:tc>
        <w:tc>
          <w:tcPr>
            <w:tcW w:w="5245" w:type="dxa"/>
          </w:tcPr>
          <w:p w14:paraId="7035A6B5" w14:textId="77777777" w:rsidR="000C3D20" w:rsidRPr="00143E90" w:rsidRDefault="000C3D20" w:rsidP="002C7622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bCs/>
                <w:spacing w:val="20"/>
                <w:lang w:val="pl-PL"/>
              </w:rPr>
              <w:t>Dedykowany przez producenta procesora do pracy w serwerach dwuprocesorowych</w:t>
            </w:r>
          </w:p>
        </w:tc>
        <w:tc>
          <w:tcPr>
            <w:tcW w:w="2126" w:type="dxa"/>
          </w:tcPr>
          <w:p w14:paraId="55495AA0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1F625073" w14:textId="77777777" w:rsidTr="000C3D20">
        <w:trPr>
          <w:trHeight w:val="1460"/>
        </w:trPr>
        <w:tc>
          <w:tcPr>
            <w:tcW w:w="851" w:type="dxa"/>
          </w:tcPr>
          <w:p w14:paraId="69847F38" w14:textId="6F1149AC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5.</w:t>
            </w:r>
          </w:p>
        </w:tc>
        <w:tc>
          <w:tcPr>
            <w:tcW w:w="2126" w:type="dxa"/>
          </w:tcPr>
          <w:p w14:paraId="3280EB51" w14:textId="40286A58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Procesor</w:t>
            </w:r>
          </w:p>
        </w:tc>
        <w:tc>
          <w:tcPr>
            <w:tcW w:w="5245" w:type="dxa"/>
          </w:tcPr>
          <w:p w14:paraId="16D05EF7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Zainstalowane dwa procesory z fizycznymi  16 rdzeniami,  klasy x86 dedykowane do pracy z zaoferowanym serwerem, osiągające wydajność minimum </w:t>
            </w:r>
            <w:r w:rsidRPr="00143E90">
              <w:rPr>
                <w:b/>
                <w:bCs/>
                <w:spacing w:val="20"/>
              </w:rPr>
              <w:t>34380</w:t>
            </w:r>
            <w:r w:rsidRPr="00143E90">
              <w:rPr>
                <w:spacing w:val="20"/>
              </w:rPr>
              <w:t xml:space="preserve"> pkt każdy w teście </w:t>
            </w:r>
            <w:proofErr w:type="spellStart"/>
            <w:r w:rsidRPr="00143E90">
              <w:rPr>
                <w:spacing w:val="20"/>
              </w:rPr>
              <w:t>Passmark</w:t>
            </w:r>
            <w:proofErr w:type="spellEnd"/>
            <w:r w:rsidRPr="00143E90">
              <w:rPr>
                <w:spacing w:val="20"/>
              </w:rPr>
              <w:t>- CPU Mark – Server CPU Performance</w:t>
            </w:r>
          </w:p>
          <w:p w14:paraId="52D7E9B8" w14:textId="77777777" w:rsidR="000C3D20" w:rsidRPr="00143E90" w:rsidRDefault="00070C82" w:rsidP="002C7622">
            <w:pPr>
              <w:spacing w:line="276" w:lineRule="auto"/>
              <w:rPr>
                <w:spacing w:val="20"/>
              </w:rPr>
            </w:pPr>
            <w:hyperlink r:id="rId8" w:history="1">
              <w:r w:rsidR="000C3D20" w:rsidRPr="00143E90">
                <w:rPr>
                  <w:rStyle w:val="Hipercze"/>
                  <w:spacing w:val="20"/>
                </w:rPr>
                <w:t>https://www.cpubenchmark.net/server.html</w:t>
              </w:r>
            </w:hyperlink>
          </w:p>
          <w:p w14:paraId="402E1654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na dzień 25.02.2025</w:t>
            </w:r>
          </w:p>
          <w:p w14:paraId="431B703A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Testy w załączeniu – </w:t>
            </w:r>
            <w:r w:rsidRPr="00143E90">
              <w:rPr>
                <w:b/>
                <w:bCs/>
                <w:color w:val="70AD47" w:themeColor="accent6"/>
                <w:spacing w:val="20"/>
              </w:rPr>
              <w:t xml:space="preserve">Tabela A2 </w:t>
            </w:r>
            <w:r w:rsidRPr="00143E90">
              <w:rPr>
                <w:spacing w:val="20"/>
              </w:rPr>
              <w:t xml:space="preserve"> lub </w:t>
            </w:r>
          </w:p>
          <w:p w14:paraId="0EAD4780" w14:textId="77777777" w:rsidR="000C3D20" w:rsidRPr="00143E90" w:rsidRDefault="000C3D20" w:rsidP="002C7622">
            <w:pPr>
              <w:spacing w:line="276" w:lineRule="auto"/>
              <w:rPr>
                <w:color w:val="FF0000"/>
                <w:spacing w:val="20"/>
                <w:lang w:val="pl-PL"/>
              </w:rPr>
            </w:pPr>
            <w:r w:rsidRPr="00143E90">
              <w:rPr>
                <w:color w:val="000000" w:themeColor="text1"/>
                <w:spacing w:val="20"/>
              </w:rPr>
              <w:t>Umożliwiające osiągnięcie wyniku min. 266 w teście SPECrate2017_int_base, dostępnym na stronie www.spec.org dla konfiguracji dwuprocesorowej.</w:t>
            </w:r>
          </w:p>
        </w:tc>
        <w:tc>
          <w:tcPr>
            <w:tcW w:w="2126" w:type="dxa"/>
          </w:tcPr>
          <w:p w14:paraId="289CB897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Model:</w:t>
            </w:r>
          </w:p>
        </w:tc>
      </w:tr>
      <w:tr w:rsidR="000C3D20" w:rsidRPr="00143E90" w14:paraId="674632F2" w14:textId="77777777" w:rsidTr="000C3D20">
        <w:trPr>
          <w:trHeight w:val="529"/>
        </w:trPr>
        <w:tc>
          <w:tcPr>
            <w:tcW w:w="851" w:type="dxa"/>
          </w:tcPr>
          <w:p w14:paraId="0659A7C6" w14:textId="279FB61E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6.</w:t>
            </w:r>
          </w:p>
        </w:tc>
        <w:tc>
          <w:tcPr>
            <w:tcW w:w="2126" w:type="dxa"/>
          </w:tcPr>
          <w:p w14:paraId="19B50C38" w14:textId="1B116B9A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Pamięć RAM</w:t>
            </w:r>
          </w:p>
        </w:tc>
        <w:tc>
          <w:tcPr>
            <w:tcW w:w="5245" w:type="dxa"/>
          </w:tcPr>
          <w:p w14:paraId="51A27BE9" w14:textId="77777777" w:rsidR="000C3D20" w:rsidRPr="00143E90" w:rsidRDefault="000C3D20" w:rsidP="002C7622">
            <w:pPr>
              <w:spacing w:line="276" w:lineRule="auto"/>
              <w:rPr>
                <w:spacing w:val="20"/>
                <w:lang w:val="en-US"/>
              </w:rPr>
            </w:pPr>
            <w:r w:rsidRPr="00143E90">
              <w:rPr>
                <w:spacing w:val="20"/>
                <w:lang w:val="en-US"/>
              </w:rPr>
              <w:t>Minimum 256GB DDR5 RDIMM 5600MT/s,</w:t>
            </w:r>
          </w:p>
        </w:tc>
        <w:tc>
          <w:tcPr>
            <w:tcW w:w="2126" w:type="dxa"/>
          </w:tcPr>
          <w:p w14:paraId="617882FE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Wielkość:</w:t>
            </w:r>
          </w:p>
        </w:tc>
      </w:tr>
      <w:tr w:rsidR="000C3D20" w:rsidRPr="00143E90" w14:paraId="13A60870" w14:textId="77777777" w:rsidTr="000C3D20">
        <w:trPr>
          <w:trHeight w:val="1092"/>
        </w:trPr>
        <w:tc>
          <w:tcPr>
            <w:tcW w:w="851" w:type="dxa"/>
          </w:tcPr>
          <w:p w14:paraId="099D65B5" w14:textId="51757769" w:rsidR="000C3D20" w:rsidRPr="00143E90" w:rsidRDefault="000C3D20" w:rsidP="002C7622">
            <w:pPr>
              <w:spacing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7.</w:t>
            </w:r>
          </w:p>
        </w:tc>
        <w:tc>
          <w:tcPr>
            <w:tcW w:w="2126" w:type="dxa"/>
          </w:tcPr>
          <w:p w14:paraId="0B1D649B" w14:textId="38860C94" w:rsidR="000C3D20" w:rsidRPr="00143E90" w:rsidRDefault="000C3D20" w:rsidP="002C7622">
            <w:pPr>
              <w:spacing w:line="276" w:lineRule="auto"/>
              <w:rPr>
                <w:spacing w:val="20"/>
                <w:lang w:val="en-US"/>
              </w:rPr>
            </w:pPr>
            <w:r w:rsidRPr="00143E90">
              <w:rPr>
                <w:spacing w:val="20"/>
                <w:lang w:val="en-US"/>
              </w:rPr>
              <w:t xml:space="preserve">Karta </w:t>
            </w:r>
            <w:proofErr w:type="spellStart"/>
            <w:r w:rsidRPr="00143E90">
              <w:rPr>
                <w:spacing w:val="20"/>
                <w:lang w:val="en-US"/>
              </w:rPr>
              <w:t>graficzna</w:t>
            </w:r>
            <w:proofErr w:type="spellEnd"/>
          </w:p>
        </w:tc>
        <w:tc>
          <w:tcPr>
            <w:tcW w:w="5245" w:type="dxa"/>
          </w:tcPr>
          <w:p w14:paraId="01A93700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color w:val="000000"/>
                <w:spacing w:val="20"/>
                <w:lang w:val="pl-PL"/>
              </w:rPr>
              <w:t>Zintegrowana karta graficzna umożliwiająca wyświetlenie rozdzielczości min. 1920x1200</w:t>
            </w:r>
          </w:p>
        </w:tc>
        <w:tc>
          <w:tcPr>
            <w:tcW w:w="2126" w:type="dxa"/>
          </w:tcPr>
          <w:p w14:paraId="53AFA050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Model:</w:t>
            </w:r>
          </w:p>
        </w:tc>
      </w:tr>
      <w:tr w:rsidR="000C3D20" w:rsidRPr="00143E90" w14:paraId="712A9DA7" w14:textId="77777777" w:rsidTr="000C3D20">
        <w:trPr>
          <w:trHeight w:val="864"/>
        </w:trPr>
        <w:tc>
          <w:tcPr>
            <w:tcW w:w="851" w:type="dxa"/>
          </w:tcPr>
          <w:p w14:paraId="7C49C582" w14:textId="2CA5243E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8.</w:t>
            </w:r>
          </w:p>
        </w:tc>
        <w:tc>
          <w:tcPr>
            <w:tcW w:w="2126" w:type="dxa"/>
          </w:tcPr>
          <w:p w14:paraId="639E7ACA" w14:textId="76537F5B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Pamięć masowa</w:t>
            </w:r>
          </w:p>
        </w:tc>
        <w:tc>
          <w:tcPr>
            <w:tcW w:w="5245" w:type="dxa"/>
          </w:tcPr>
          <w:p w14:paraId="51D989DF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color w:val="000000"/>
                <w:spacing w:val="20"/>
                <w:lang w:val="pl-PL"/>
              </w:rPr>
              <w:t xml:space="preserve">Zainstalowane </w:t>
            </w:r>
            <w:r w:rsidRPr="00143E90">
              <w:rPr>
                <w:b/>
                <w:bCs/>
                <w:color w:val="000000"/>
                <w:spacing w:val="20"/>
                <w:lang w:val="pl-PL"/>
              </w:rPr>
              <w:t>dwa</w:t>
            </w:r>
            <w:r w:rsidRPr="00143E90">
              <w:rPr>
                <w:color w:val="000000"/>
                <w:spacing w:val="20"/>
                <w:lang w:val="pl-PL"/>
              </w:rPr>
              <w:t xml:space="preserve"> dyski M.2 </w:t>
            </w:r>
            <w:proofErr w:type="spellStart"/>
            <w:r w:rsidRPr="00143E90">
              <w:rPr>
                <w:color w:val="000000"/>
                <w:spacing w:val="20"/>
                <w:lang w:val="pl-PL"/>
              </w:rPr>
              <w:t>NVMe</w:t>
            </w:r>
            <w:proofErr w:type="spellEnd"/>
            <w:r w:rsidRPr="00143E90">
              <w:rPr>
                <w:color w:val="000000"/>
                <w:spacing w:val="20"/>
                <w:lang w:val="pl-PL"/>
              </w:rPr>
              <w:t xml:space="preserve"> SSD o pojemności min. 480GB Hot-Plug z możliwością konfiguracji RAID 1.</w:t>
            </w:r>
          </w:p>
        </w:tc>
        <w:tc>
          <w:tcPr>
            <w:tcW w:w="2126" w:type="dxa"/>
          </w:tcPr>
          <w:p w14:paraId="218B1ED5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Wielkość dysku:</w:t>
            </w:r>
          </w:p>
        </w:tc>
      </w:tr>
      <w:tr w:rsidR="000C3D20" w:rsidRPr="00143E90" w14:paraId="309BC385" w14:textId="77777777" w:rsidTr="000C3D20">
        <w:trPr>
          <w:trHeight w:val="689"/>
        </w:trPr>
        <w:tc>
          <w:tcPr>
            <w:tcW w:w="851" w:type="dxa"/>
          </w:tcPr>
          <w:p w14:paraId="4F606B85" w14:textId="3808ACF4" w:rsidR="000C3D20" w:rsidRPr="000C3D20" w:rsidRDefault="000C3D20" w:rsidP="002C7622">
            <w:pPr>
              <w:spacing w:line="276" w:lineRule="auto"/>
              <w:rPr>
                <w:spacing w:val="20"/>
                <w:lang w:val="pl-PL"/>
              </w:rPr>
            </w:pPr>
            <w:r w:rsidRPr="000C3D20">
              <w:rPr>
                <w:spacing w:val="20"/>
                <w:lang w:val="pl-PL"/>
              </w:rPr>
              <w:t>9.</w:t>
            </w:r>
          </w:p>
        </w:tc>
        <w:tc>
          <w:tcPr>
            <w:tcW w:w="2126" w:type="dxa"/>
          </w:tcPr>
          <w:p w14:paraId="0AEF0C6D" w14:textId="352B0B62" w:rsidR="000C3D20" w:rsidRPr="00695511" w:rsidRDefault="000C3D20" w:rsidP="002C7622">
            <w:pPr>
              <w:spacing w:line="276" w:lineRule="auto"/>
              <w:rPr>
                <w:spacing w:val="20"/>
              </w:rPr>
            </w:pPr>
            <w:r w:rsidRPr="00695511">
              <w:rPr>
                <w:spacing w:val="20"/>
                <w:lang w:val="pl-PL"/>
              </w:rPr>
              <w:t>Gniazda PCI</w:t>
            </w:r>
          </w:p>
        </w:tc>
        <w:tc>
          <w:tcPr>
            <w:tcW w:w="5245" w:type="dxa"/>
          </w:tcPr>
          <w:p w14:paraId="0FBC75B6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 xml:space="preserve">Trzy </w:t>
            </w:r>
            <w:proofErr w:type="spellStart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sloty</w:t>
            </w:r>
            <w:proofErr w:type="spellEnd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 xml:space="preserve"> </w:t>
            </w:r>
            <w:proofErr w:type="spellStart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PCIe</w:t>
            </w:r>
            <w:proofErr w:type="spellEnd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 xml:space="preserve"> LP</w:t>
            </w:r>
          </w:p>
        </w:tc>
        <w:tc>
          <w:tcPr>
            <w:tcW w:w="2126" w:type="dxa"/>
          </w:tcPr>
          <w:p w14:paraId="4BFC7EDD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73AD49E4" w14:textId="77777777" w:rsidTr="000C3D20">
        <w:trPr>
          <w:trHeight w:val="673"/>
        </w:trPr>
        <w:tc>
          <w:tcPr>
            <w:tcW w:w="851" w:type="dxa"/>
          </w:tcPr>
          <w:p w14:paraId="287E70CD" w14:textId="4839B7B6" w:rsidR="000C3D20" w:rsidRPr="000C3D20" w:rsidRDefault="000C3D20" w:rsidP="002C7622">
            <w:pPr>
              <w:spacing w:line="276" w:lineRule="auto"/>
              <w:rPr>
                <w:spacing w:val="20"/>
                <w:lang w:val="pl-PL"/>
              </w:rPr>
            </w:pPr>
            <w:r w:rsidRPr="000C3D20">
              <w:rPr>
                <w:spacing w:val="20"/>
                <w:lang w:val="pl-PL"/>
              </w:rPr>
              <w:t>10.</w:t>
            </w:r>
          </w:p>
        </w:tc>
        <w:tc>
          <w:tcPr>
            <w:tcW w:w="2126" w:type="dxa"/>
          </w:tcPr>
          <w:p w14:paraId="62A899FC" w14:textId="41099AA5" w:rsidR="000C3D20" w:rsidRPr="00695511" w:rsidRDefault="000C3D20" w:rsidP="002C7622">
            <w:pPr>
              <w:spacing w:line="276" w:lineRule="auto"/>
              <w:rPr>
                <w:spacing w:val="20"/>
              </w:rPr>
            </w:pPr>
            <w:r w:rsidRPr="00695511">
              <w:rPr>
                <w:spacing w:val="20"/>
                <w:lang w:val="pl-PL"/>
              </w:rPr>
              <w:t>Interfejsy sieciowe/FC/SAS</w:t>
            </w:r>
          </w:p>
        </w:tc>
        <w:tc>
          <w:tcPr>
            <w:tcW w:w="5245" w:type="dxa"/>
          </w:tcPr>
          <w:p w14:paraId="79283C20" w14:textId="77777777" w:rsidR="000C3D20" w:rsidRPr="00143E90" w:rsidRDefault="000C3D20" w:rsidP="002C7622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Wbudowane min.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2 interfejsy sieciowe 1Gb Ethernet w standardzie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BaseT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oraz 2 interfejsy sieciowe 25Gb Ethernet w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 xml:space="preserve">standardzie SFP28 (porty nie mogą być osiągnięte poprzez karty w slotach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PCIe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>)</w:t>
            </w:r>
          </w:p>
          <w:p w14:paraId="179780D4" w14:textId="77777777" w:rsidR="000C3D20" w:rsidRPr="00143E90" w:rsidRDefault="000C3D20" w:rsidP="002C7622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proofErr w:type="spellStart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>Dwuportowa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 xml:space="preserve">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>karta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 xml:space="preserve">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t>sieciowa 25Gb Ethernet w standardzie SFP28</w:t>
            </w:r>
          </w:p>
        </w:tc>
        <w:tc>
          <w:tcPr>
            <w:tcW w:w="2126" w:type="dxa"/>
          </w:tcPr>
          <w:p w14:paraId="2A35F964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lastRenderedPageBreak/>
              <w:t>Tak/nie*</w:t>
            </w:r>
          </w:p>
        </w:tc>
      </w:tr>
      <w:tr w:rsidR="000C3D20" w:rsidRPr="00143E90" w14:paraId="1952B002" w14:textId="77777777" w:rsidTr="000C3D20">
        <w:trPr>
          <w:trHeight w:val="1117"/>
        </w:trPr>
        <w:tc>
          <w:tcPr>
            <w:tcW w:w="851" w:type="dxa"/>
          </w:tcPr>
          <w:p w14:paraId="25246D85" w14:textId="2E5BBD84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11.</w:t>
            </w:r>
          </w:p>
        </w:tc>
        <w:tc>
          <w:tcPr>
            <w:tcW w:w="2126" w:type="dxa"/>
          </w:tcPr>
          <w:p w14:paraId="59F8A47D" w14:textId="15BA3F8B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Porty i złącza</w:t>
            </w:r>
          </w:p>
        </w:tc>
        <w:tc>
          <w:tcPr>
            <w:tcW w:w="5245" w:type="dxa"/>
          </w:tcPr>
          <w:p w14:paraId="32CB4892" w14:textId="77777777" w:rsidR="000C3D20" w:rsidRPr="00143E90" w:rsidRDefault="000C3D20" w:rsidP="002C7622">
            <w:pPr>
              <w:pStyle w:val="Akapitzlist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4 porty USB w tym min: </w:t>
            </w:r>
          </w:p>
          <w:p w14:paraId="3BABD7DD" w14:textId="77777777" w:rsidR="000C3D20" w:rsidRPr="00143E90" w:rsidRDefault="000C3D20" w:rsidP="002C7622">
            <w:pPr>
              <w:pStyle w:val="Akapitzlist"/>
              <w:numPr>
                <w:ilvl w:val="1"/>
                <w:numId w:val="2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1 port USB 3.0 z tyłu obudowy, </w:t>
            </w:r>
          </w:p>
          <w:p w14:paraId="4A85166C" w14:textId="77777777" w:rsidR="000C3D20" w:rsidRPr="00143E90" w:rsidRDefault="000C3D20" w:rsidP="002C7622">
            <w:pPr>
              <w:pStyle w:val="Akapitzlist"/>
              <w:numPr>
                <w:ilvl w:val="1"/>
                <w:numId w:val="2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1 port micro USB z przodu obudowy</w:t>
            </w:r>
          </w:p>
          <w:p w14:paraId="6EB9FE9B" w14:textId="77777777" w:rsidR="000C3D20" w:rsidRPr="00143E90" w:rsidRDefault="000C3D20" w:rsidP="002C7622">
            <w:pPr>
              <w:pStyle w:val="Akapitzlist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2 port VGA z czego jeden z przodu obudowy</w:t>
            </w:r>
          </w:p>
          <w:p w14:paraId="7069642F" w14:textId="77777777" w:rsidR="000C3D20" w:rsidRPr="00143E90" w:rsidRDefault="000C3D20" w:rsidP="002C7622">
            <w:pPr>
              <w:pStyle w:val="Akapitzlist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rozbudowy o port RS232</w:t>
            </w:r>
          </w:p>
        </w:tc>
        <w:tc>
          <w:tcPr>
            <w:tcW w:w="2126" w:type="dxa"/>
          </w:tcPr>
          <w:p w14:paraId="1635643A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18FD64EF" w14:textId="77777777" w:rsidTr="000C3D20">
        <w:trPr>
          <w:trHeight w:val="532"/>
        </w:trPr>
        <w:tc>
          <w:tcPr>
            <w:tcW w:w="851" w:type="dxa"/>
          </w:tcPr>
          <w:p w14:paraId="34876FA9" w14:textId="3CB50A9B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12.</w:t>
            </w:r>
          </w:p>
        </w:tc>
        <w:tc>
          <w:tcPr>
            <w:tcW w:w="2126" w:type="dxa"/>
          </w:tcPr>
          <w:p w14:paraId="1436F347" w14:textId="018A5FBC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Zasilacze</w:t>
            </w:r>
          </w:p>
        </w:tc>
        <w:tc>
          <w:tcPr>
            <w:tcW w:w="5245" w:type="dxa"/>
          </w:tcPr>
          <w:p w14:paraId="1B1FA743" w14:textId="77777777" w:rsidR="000C3D20" w:rsidRPr="00143E90" w:rsidRDefault="000C3D20" w:rsidP="002C762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0"/>
              <w:rPr>
                <w:bCs/>
                <w:spacing w:val="20"/>
              </w:rPr>
            </w:pPr>
            <w:r w:rsidRPr="00143E90">
              <w:rPr>
                <w:spacing w:val="20"/>
                <w:lang w:val="pl-PL"/>
              </w:rPr>
              <w:t xml:space="preserve">Dwa Redundantne, Hot-Plug min. 1100W klasy </w:t>
            </w:r>
            <w:proofErr w:type="spellStart"/>
            <w:r w:rsidRPr="00143E90">
              <w:rPr>
                <w:spacing w:val="20"/>
                <w:lang w:val="pl-PL"/>
              </w:rPr>
              <w:t>Titanium</w:t>
            </w:r>
            <w:proofErr w:type="spellEnd"/>
          </w:p>
        </w:tc>
        <w:tc>
          <w:tcPr>
            <w:tcW w:w="2126" w:type="dxa"/>
          </w:tcPr>
          <w:p w14:paraId="28607F39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343E4295" w14:textId="77777777" w:rsidTr="000C3D20">
        <w:trPr>
          <w:trHeight w:val="532"/>
        </w:trPr>
        <w:tc>
          <w:tcPr>
            <w:tcW w:w="851" w:type="dxa"/>
          </w:tcPr>
          <w:p w14:paraId="2F167908" w14:textId="40EB1C73" w:rsidR="000C3D20" w:rsidRPr="000C3D20" w:rsidRDefault="000C3D20" w:rsidP="002C7622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0C3D20">
              <w:rPr>
                <w:bCs/>
                <w:spacing w:val="20"/>
                <w:lang w:val="pl-PL"/>
              </w:rPr>
              <w:t>13.</w:t>
            </w:r>
          </w:p>
        </w:tc>
        <w:tc>
          <w:tcPr>
            <w:tcW w:w="2126" w:type="dxa"/>
          </w:tcPr>
          <w:p w14:paraId="4C15D348" w14:textId="4AD3815C" w:rsidR="000C3D20" w:rsidRPr="00695511" w:rsidRDefault="000C3D20" w:rsidP="002C7622">
            <w:pPr>
              <w:spacing w:line="276" w:lineRule="auto"/>
              <w:rPr>
                <w:spacing w:val="20"/>
              </w:rPr>
            </w:pPr>
            <w:bookmarkStart w:id="0" w:name="_GoBack"/>
            <w:r w:rsidRPr="00695511">
              <w:rPr>
                <w:bCs/>
                <w:spacing w:val="20"/>
                <w:lang w:val="pl-PL"/>
              </w:rPr>
              <w:t>Elementy montażowe</w:t>
            </w:r>
            <w:bookmarkEnd w:id="0"/>
          </w:p>
        </w:tc>
        <w:tc>
          <w:tcPr>
            <w:tcW w:w="5245" w:type="dxa"/>
          </w:tcPr>
          <w:p w14:paraId="7C573C4E" w14:textId="77777777" w:rsidR="000C3D20" w:rsidRPr="00143E90" w:rsidRDefault="000C3D20" w:rsidP="002C7622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</w:pPr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 xml:space="preserve">Komplet wysuwanych szyn umożliwiających montaż w szafie </w:t>
            </w:r>
            <w:proofErr w:type="spellStart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rack</w:t>
            </w:r>
            <w:proofErr w:type="spellEnd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 xml:space="preserve"> i wysuwanie serwera do celów serwisowych</w:t>
            </w:r>
          </w:p>
          <w:p w14:paraId="39B183A8" w14:textId="77777777" w:rsidR="000C3D20" w:rsidRPr="00143E90" w:rsidRDefault="000C3D20" w:rsidP="002C7622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</w:pPr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Ramię (</w:t>
            </w:r>
            <w:proofErr w:type="spellStart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organizer</w:t>
            </w:r>
            <w:proofErr w:type="spellEnd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) do kabli ułatwiające wysuwanie serwera do celów serwisowych</w:t>
            </w:r>
          </w:p>
        </w:tc>
        <w:tc>
          <w:tcPr>
            <w:tcW w:w="2126" w:type="dxa"/>
          </w:tcPr>
          <w:p w14:paraId="6A149FAB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0AE8A6BC" w14:textId="77777777" w:rsidTr="000C3D20">
        <w:trPr>
          <w:trHeight w:val="532"/>
        </w:trPr>
        <w:tc>
          <w:tcPr>
            <w:tcW w:w="851" w:type="dxa"/>
          </w:tcPr>
          <w:p w14:paraId="5AA43DF7" w14:textId="1F8967A2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14.</w:t>
            </w:r>
          </w:p>
        </w:tc>
        <w:tc>
          <w:tcPr>
            <w:tcW w:w="2126" w:type="dxa"/>
          </w:tcPr>
          <w:p w14:paraId="538D1157" w14:textId="0C2DF888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System operacyjny</w:t>
            </w:r>
          </w:p>
        </w:tc>
        <w:tc>
          <w:tcPr>
            <w:tcW w:w="5245" w:type="dxa"/>
          </w:tcPr>
          <w:p w14:paraId="65DF0DD2" w14:textId="77777777" w:rsidR="000C3D20" w:rsidRPr="00143E90" w:rsidRDefault="000C3D20" w:rsidP="002C7622">
            <w:pPr>
              <w:spacing w:after="0" w:line="276" w:lineRule="auto"/>
              <w:rPr>
                <w:spacing w:val="20"/>
                <w:lang w:val="pl-PL"/>
              </w:rPr>
            </w:pPr>
            <w:r w:rsidRPr="00143E90">
              <w:rPr>
                <w:color w:val="000000"/>
                <w:spacing w:val="20"/>
              </w:rPr>
              <w:t xml:space="preserve">Windows Server 2025 Standard PL– licencja dobrana tak aby przy oferowanych procesorach umożliwić uruchomienie 4 nowych  maszyn wirtualnych ( dopuszczalna wersja systemu operacyjnego  związana ze sprzętem- licencja typu ROK-Reseller Option Kit), </w:t>
            </w:r>
            <w:r w:rsidRPr="00143E90">
              <w:rPr>
                <w:bCs/>
                <w:spacing w:val="20"/>
                <w:bdr w:val="none" w:sz="0" w:space="0" w:color="auto" w:frame="1"/>
                <w:lang w:val="pl-PL"/>
              </w:rPr>
              <w:t xml:space="preserve"> </w:t>
            </w:r>
            <w:r w:rsidRPr="00143E90">
              <w:rPr>
                <w:b/>
                <w:bCs/>
                <w:color w:val="00B050"/>
                <w:spacing w:val="20"/>
                <w:bdr w:val="none" w:sz="0" w:space="0" w:color="auto" w:frame="1"/>
              </w:rPr>
              <w:t>lub równoważny wg Tabeli A1</w:t>
            </w:r>
          </w:p>
        </w:tc>
        <w:tc>
          <w:tcPr>
            <w:tcW w:w="2126" w:type="dxa"/>
          </w:tcPr>
          <w:p w14:paraId="39221B9D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Nazwa systemu:</w:t>
            </w:r>
          </w:p>
          <w:p w14:paraId="6C8A2635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Ilość licencji :</w:t>
            </w:r>
          </w:p>
        </w:tc>
      </w:tr>
      <w:tr w:rsidR="000C3D20" w:rsidRPr="00143E90" w14:paraId="467760A7" w14:textId="77777777" w:rsidTr="000C3D20">
        <w:trPr>
          <w:trHeight w:val="696"/>
        </w:trPr>
        <w:tc>
          <w:tcPr>
            <w:tcW w:w="851" w:type="dxa"/>
          </w:tcPr>
          <w:p w14:paraId="5332F364" w14:textId="39933950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15.</w:t>
            </w:r>
          </w:p>
        </w:tc>
        <w:tc>
          <w:tcPr>
            <w:tcW w:w="2126" w:type="dxa"/>
          </w:tcPr>
          <w:p w14:paraId="1A5127EE" w14:textId="69EA0E49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Licencje dostępowe </w:t>
            </w:r>
          </w:p>
        </w:tc>
        <w:tc>
          <w:tcPr>
            <w:tcW w:w="5245" w:type="dxa"/>
          </w:tcPr>
          <w:p w14:paraId="3675A0B1" w14:textId="148BAE4D" w:rsidR="000C3D20" w:rsidRPr="00143E90" w:rsidRDefault="000C3D20" w:rsidP="002C7622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143E90">
              <w:rPr>
                <w:rFonts w:eastAsia="Times New Roman"/>
                <w:spacing w:val="20"/>
                <w:lang w:val="pl-PL"/>
              </w:rPr>
              <w:t>120 licencji  Windows Server 2025/2022 User CAL (dopuszczalne zestawy grupowe licencji)</w:t>
            </w:r>
          </w:p>
        </w:tc>
        <w:tc>
          <w:tcPr>
            <w:tcW w:w="2126" w:type="dxa"/>
          </w:tcPr>
          <w:p w14:paraId="59A267DD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3C45A0EA" w14:textId="77777777" w:rsidTr="000C3D20">
        <w:trPr>
          <w:trHeight w:val="2031"/>
        </w:trPr>
        <w:tc>
          <w:tcPr>
            <w:tcW w:w="851" w:type="dxa"/>
          </w:tcPr>
          <w:p w14:paraId="52EBB156" w14:textId="032D328D" w:rsidR="000C3D20" w:rsidRPr="000C3D20" w:rsidRDefault="000C3D20" w:rsidP="002C7622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0C3D20">
              <w:rPr>
                <w:bCs/>
                <w:spacing w:val="20"/>
                <w:lang w:val="pl-PL"/>
              </w:rPr>
              <w:t>16.</w:t>
            </w:r>
          </w:p>
        </w:tc>
        <w:tc>
          <w:tcPr>
            <w:tcW w:w="2126" w:type="dxa"/>
            <w:vAlign w:val="center"/>
          </w:tcPr>
          <w:p w14:paraId="6CC3B890" w14:textId="64B01A3E" w:rsidR="000C3D20" w:rsidRPr="006F5C46" w:rsidRDefault="000C3D20" w:rsidP="002C7622">
            <w:pPr>
              <w:spacing w:line="276" w:lineRule="auto"/>
              <w:rPr>
                <w:spacing w:val="20"/>
              </w:rPr>
            </w:pPr>
            <w:r w:rsidRPr="006F5C46">
              <w:rPr>
                <w:bCs/>
                <w:spacing w:val="20"/>
                <w:lang w:val="pl-PL"/>
              </w:rPr>
              <w:t>Bezpieczeństwo</w:t>
            </w:r>
            <w:r w:rsidRPr="006F5C46">
              <w:rPr>
                <w:spacing w:val="20"/>
                <w:lang w:val="pl-PL" w:eastAsia="zh-CN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14:paraId="2B8C5A9C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Zatrzask górnej pokrywy oraz blokada na ramce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panela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zamykana na klucz służąca do ochrony nieautoryzowanego dostępu do dysków twardych. </w:t>
            </w:r>
          </w:p>
          <w:p w14:paraId="427CD489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Wbudowany w serwer mechanizm pozwalający na weryfikację niezmienności konfiguracji sprzętowej serwera od momentu produkcji do dostawy do docelowej lokalizacji. Mechanizm ma również pozwalać na kontrolę otwarcia urządzenia w trakcie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>transportu, niezależnie od stanu zasilania.</w:t>
            </w:r>
          </w:p>
          <w:p w14:paraId="49F258A5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Możliwość wyłączenia w BIOS funkcji przycisku zasilania. </w:t>
            </w:r>
          </w:p>
          <w:p w14:paraId="713F99B7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2FF8F146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Wbudowany czujnik otwarcia obudowy współpracujący z BIOS i kartą zarządzającą. </w:t>
            </w:r>
          </w:p>
          <w:p w14:paraId="7C4CE491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Moduł TPM 2.0 V3</w:t>
            </w:r>
          </w:p>
          <w:p w14:paraId="2CE97C39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Możliwość dynamicznego włączania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>i wyłączania portów USB na obudowie – bez potrzeby restartu serwera</w:t>
            </w:r>
          </w:p>
          <w:p w14:paraId="144F5FC4" w14:textId="77777777" w:rsidR="000C3D20" w:rsidRPr="00143E90" w:rsidRDefault="000C3D20" w:rsidP="002C762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44199980" w14:textId="77777777" w:rsidR="000C3D20" w:rsidRPr="00143E90" w:rsidRDefault="000C3D20" w:rsidP="002C7622">
            <w:pPr>
              <w:spacing w:line="276" w:lineRule="auto"/>
              <w:rPr>
                <w:bCs/>
                <w:spacing w:val="20"/>
                <w:bdr w:val="none" w:sz="0" w:space="0" w:color="auto" w:frame="1"/>
              </w:rPr>
            </w:pPr>
            <w:r w:rsidRPr="00143E90">
              <w:rPr>
                <w:bCs/>
                <w:spacing w:val="20"/>
                <w:lang w:val="pl-PL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2126" w:type="dxa"/>
          </w:tcPr>
          <w:p w14:paraId="25229F4A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lastRenderedPageBreak/>
              <w:t>Tak/nie*</w:t>
            </w:r>
          </w:p>
        </w:tc>
      </w:tr>
      <w:tr w:rsidR="000C3D20" w:rsidRPr="00143E90" w14:paraId="54103B20" w14:textId="77777777" w:rsidTr="000C3D20">
        <w:trPr>
          <w:trHeight w:val="658"/>
        </w:trPr>
        <w:tc>
          <w:tcPr>
            <w:tcW w:w="851" w:type="dxa"/>
          </w:tcPr>
          <w:p w14:paraId="72382D88" w14:textId="136560EA" w:rsidR="000C3D20" w:rsidRPr="000C3D20" w:rsidRDefault="000C3D20" w:rsidP="002C7622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0C3D20">
              <w:rPr>
                <w:bCs/>
                <w:spacing w:val="20"/>
                <w:lang w:val="pl-PL"/>
              </w:rPr>
              <w:t>17.</w:t>
            </w:r>
          </w:p>
        </w:tc>
        <w:tc>
          <w:tcPr>
            <w:tcW w:w="2126" w:type="dxa"/>
          </w:tcPr>
          <w:p w14:paraId="563B1257" w14:textId="36FF10E7" w:rsidR="000C3D20" w:rsidRPr="006F5C46" w:rsidRDefault="000C3D20" w:rsidP="002C7622">
            <w:pPr>
              <w:spacing w:line="276" w:lineRule="auto"/>
              <w:rPr>
                <w:spacing w:val="20"/>
              </w:rPr>
            </w:pPr>
            <w:r w:rsidRPr="006F5C46">
              <w:rPr>
                <w:bCs/>
                <w:spacing w:val="20"/>
                <w:lang w:val="pl-PL"/>
              </w:rPr>
              <w:t>Karta Zarządzania</w:t>
            </w:r>
          </w:p>
        </w:tc>
        <w:tc>
          <w:tcPr>
            <w:tcW w:w="5245" w:type="dxa"/>
          </w:tcPr>
          <w:p w14:paraId="333B6B93" w14:textId="77777777" w:rsidR="000C3D20" w:rsidRPr="00143E90" w:rsidRDefault="000C3D20" w:rsidP="002C7622">
            <w:pPr>
              <w:spacing w:after="0"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Niezależna od zainstalowanego na serwerze systemu operacyjnego posiadająca dedykowany port Gigabit Ethernet RJ-45 </w:t>
            </w:r>
            <w:r>
              <w:rPr>
                <w:spacing w:val="20"/>
              </w:rPr>
              <w:br/>
            </w:r>
            <w:r w:rsidRPr="00143E90">
              <w:rPr>
                <w:spacing w:val="20"/>
              </w:rPr>
              <w:t>i umożliwiająca:</w:t>
            </w:r>
          </w:p>
          <w:p w14:paraId="099AA353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zdalny dostęp do graficznego interfejsu Web karty zarządzającej;</w:t>
            </w:r>
          </w:p>
          <w:p w14:paraId="0C784E1E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zdalne monitorowanie i informowanie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o statusie serwera (m.in. prędkości obrotowej wentylatorów, konfiguracji serwera);</w:t>
            </w:r>
          </w:p>
          <w:p w14:paraId="7E5999C1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szyfrowane połączenie (TLS) oraz autentykacje i autoryzację użytkownika;</w:t>
            </w:r>
          </w:p>
          <w:p w14:paraId="4E6C7E8B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lastRenderedPageBreak/>
              <w:t>możliwość podmontowania zdalnych wirtualnych napędów;</w:t>
            </w:r>
          </w:p>
          <w:p w14:paraId="333F7709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wirtualną konsolę z dostępem do myszy, klawiatury;</w:t>
            </w:r>
          </w:p>
          <w:p w14:paraId="24C65443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wsparcie dla IPv6;</w:t>
            </w:r>
          </w:p>
          <w:p w14:paraId="679B4676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  <w:lang w:val="en-US"/>
              </w:rPr>
            </w:pPr>
            <w:proofErr w:type="spellStart"/>
            <w:r w:rsidRPr="00143E90">
              <w:rPr>
                <w:rFonts w:ascii="Arial" w:hAnsi="Arial" w:cs="Arial"/>
                <w:spacing w:val="20"/>
                <w:lang w:val="en-US"/>
              </w:rPr>
              <w:t>wsparcie</w:t>
            </w:r>
            <w:proofErr w:type="spellEnd"/>
            <w:r w:rsidRPr="00143E90">
              <w:rPr>
                <w:rFonts w:ascii="Arial" w:hAnsi="Arial" w:cs="Arial"/>
                <w:spacing w:val="20"/>
                <w:lang w:val="en-US"/>
              </w:rPr>
              <w:t xml:space="preserve"> </w:t>
            </w:r>
            <w:proofErr w:type="spellStart"/>
            <w:r w:rsidRPr="00143E90">
              <w:rPr>
                <w:rFonts w:ascii="Arial" w:hAnsi="Arial" w:cs="Arial"/>
                <w:spacing w:val="20"/>
                <w:lang w:val="en-US"/>
              </w:rPr>
              <w:t>dla</w:t>
            </w:r>
            <w:proofErr w:type="spellEnd"/>
            <w:r w:rsidRPr="00143E90">
              <w:rPr>
                <w:rFonts w:ascii="Arial" w:hAnsi="Arial" w:cs="Arial"/>
                <w:spacing w:val="20"/>
                <w:lang w:val="en-US"/>
              </w:rPr>
              <w:t xml:space="preserve"> WSMAN (Web Service for Management); SNMP; IPMI2.0, SSH, Redfish;</w:t>
            </w:r>
          </w:p>
          <w:p w14:paraId="4AEAF894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zdalnego monitorowania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w czasie rzeczywistym poboru prądu przez serwer;</w:t>
            </w:r>
          </w:p>
          <w:p w14:paraId="334F2C32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zdalnego ustawienia limitu poboru prądu przez konkretny serwer;</w:t>
            </w:r>
          </w:p>
          <w:p w14:paraId="7F5F3940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integracja z Active Directory;</w:t>
            </w:r>
          </w:p>
          <w:p w14:paraId="03244A35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obsługi przez dwóch administratorów jednocześnie;</w:t>
            </w:r>
          </w:p>
          <w:p w14:paraId="223F93C5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wsparcie dla automatycznej rejestracji DNS </w:t>
            </w:r>
          </w:p>
          <w:p w14:paraId="7C14AF1A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wysyłanie do administratora maila z powiadomieniem o awarii lub zmianie konfiguracji sprzętowej.</w:t>
            </w:r>
          </w:p>
          <w:p w14:paraId="408E74AD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bezpośredniego zarządzania poprzez dedykowany port USB na przednim panelu serwera</w:t>
            </w:r>
          </w:p>
          <w:p w14:paraId="341EF0FB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zarządzania do 100 serwerów bezpośrednio z konsoli karty zarządzającej pojedynczego serwera</w:t>
            </w:r>
          </w:p>
          <w:p w14:paraId="220FA8C0" w14:textId="77777777" w:rsidR="000C3D20" w:rsidRPr="00143E90" w:rsidRDefault="000C3D20" w:rsidP="002C7622">
            <w:pPr>
              <w:spacing w:after="0" w:line="276" w:lineRule="auto"/>
              <w:ind w:left="341" w:hanging="283"/>
              <w:rPr>
                <w:spacing w:val="20"/>
                <w:lang w:val="pl-PL"/>
              </w:rPr>
            </w:pPr>
            <w:r w:rsidRPr="00143E90">
              <w:rPr>
                <w:spacing w:val="20"/>
                <w:lang w:val="pl-PL"/>
              </w:rPr>
              <w:t>oraz z możliwością rozszerzenia funkcjonalności o:</w:t>
            </w:r>
          </w:p>
          <w:p w14:paraId="4DC97FE0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Wirtualny schowek ułatwiający korzystanie z konsoli zdalnej</w:t>
            </w:r>
          </w:p>
          <w:p w14:paraId="463BA212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Przesyłanie danych telemetrycznych </w:t>
            </w:r>
            <w:r w:rsidRPr="00143E90">
              <w:rPr>
                <w:rFonts w:ascii="Arial" w:hAnsi="Arial" w:cs="Arial"/>
                <w:spacing w:val="20"/>
              </w:rPr>
              <w:br/>
              <w:t>w czasie rzeczywistym</w:t>
            </w:r>
          </w:p>
          <w:p w14:paraId="78C56361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Dostosowanie zarządzania temperaturą </w:t>
            </w:r>
            <w:r w:rsidRPr="00143E90">
              <w:rPr>
                <w:rFonts w:ascii="Arial" w:hAnsi="Arial" w:cs="Arial"/>
                <w:spacing w:val="20"/>
              </w:rPr>
              <w:br/>
              <w:t>i przepływem powietrza w serwerze</w:t>
            </w:r>
          </w:p>
          <w:p w14:paraId="47826E15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Automatyczna rejestracja certyfikatów (ACE)</w:t>
            </w:r>
          </w:p>
        </w:tc>
        <w:tc>
          <w:tcPr>
            <w:tcW w:w="2126" w:type="dxa"/>
          </w:tcPr>
          <w:p w14:paraId="71C6008E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lastRenderedPageBreak/>
              <w:t>Tak/nie*</w:t>
            </w:r>
          </w:p>
        </w:tc>
      </w:tr>
      <w:tr w:rsidR="000C3D20" w:rsidRPr="00143E90" w14:paraId="47F55BAA" w14:textId="77777777" w:rsidTr="000C3D20">
        <w:trPr>
          <w:trHeight w:val="658"/>
        </w:trPr>
        <w:tc>
          <w:tcPr>
            <w:tcW w:w="851" w:type="dxa"/>
          </w:tcPr>
          <w:p w14:paraId="20785877" w14:textId="621701BB" w:rsidR="000C3D20" w:rsidRPr="000C3D20" w:rsidRDefault="000C3D20" w:rsidP="002C7622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0C3D20">
              <w:rPr>
                <w:bCs/>
                <w:spacing w:val="20"/>
                <w:lang w:val="pl-PL"/>
              </w:rPr>
              <w:t>18.</w:t>
            </w:r>
          </w:p>
        </w:tc>
        <w:tc>
          <w:tcPr>
            <w:tcW w:w="2126" w:type="dxa"/>
          </w:tcPr>
          <w:p w14:paraId="0DB91810" w14:textId="70379C69" w:rsidR="000C3D20" w:rsidRPr="006F5C46" w:rsidRDefault="000C3D20" w:rsidP="002C7622">
            <w:pPr>
              <w:spacing w:line="276" w:lineRule="auto"/>
              <w:rPr>
                <w:spacing w:val="20"/>
              </w:rPr>
            </w:pPr>
            <w:r w:rsidRPr="006F5C46">
              <w:rPr>
                <w:bCs/>
                <w:spacing w:val="20"/>
                <w:lang w:val="pl-PL"/>
              </w:rPr>
              <w:t>Oprogramowanie do zarządzania</w:t>
            </w:r>
          </w:p>
        </w:tc>
        <w:tc>
          <w:tcPr>
            <w:tcW w:w="5245" w:type="dxa"/>
          </w:tcPr>
          <w:p w14:paraId="10DCE4B3" w14:textId="77777777" w:rsidR="000C3D20" w:rsidRPr="00143E90" w:rsidRDefault="000C3D20" w:rsidP="002C7622">
            <w:pPr>
              <w:spacing w:after="0"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Możliwość zainstalowania oprogramowania producenta do zarządzania, spełniającego poniższe wymagania:</w:t>
            </w:r>
          </w:p>
          <w:p w14:paraId="053E5410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Wsparcie dla serwerów, urządzeń sieciowych oraz pamięci masowych</w:t>
            </w:r>
          </w:p>
          <w:p w14:paraId="432BA3A8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integracja z Active Directory</w:t>
            </w:r>
          </w:p>
          <w:p w14:paraId="7C32468F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zarządzania dostarczonymi serwerami bez udziału dedykowanego agenta</w:t>
            </w:r>
          </w:p>
          <w:p w14:paraId="2FC9D6AF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lastRenderedPageBreak/>
              <w:t xml:space="preserve">Wsparcie dla protokołów SNMP, IPMI, Linux SSH,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Redfish</w:t>
            </w:r>
            <w:proofErr w:type="spellEnd"/>
          </w:p>
          <w:p w14:paraId="6D3DBF6E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uruchamiania procesu wykrywania urządzeń w oparciu o harmonogram</w:t>
            </w:r>
          </w:p>
          <w:p w14:paraId="74E5C037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Szczegółowy opis wykrytych systemów oraz ich komponentów</w:t>
            </w:r>
          </w:p>
          <w:p w14:paraId="2D0BF57E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eksportu raportu do CSV, HTML, XLS, PDF</w:t>
            </w:r>
          </w:p>
          <w:p w14:paraId="3ED5B1D3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tworzenia własnych raportów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 xml:space="preserve">w oparciu o wszystkie informacje zawarte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w inwentarzu.</w:t>
            </w:r>
          </w:p>
          <w:p w14:paraId="2713B755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Grupowanie urządzeń w oparciu o kryteria użytkownika</w:t>
            </w:r>
          </w:p>
          <w:p w14:paraId="3A6CFCE3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Tworzenie automatycznie grup urządzeń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 xml:space="preserve">w oparciu o dowolny element konfiguracji serwera np. Nazwa, lokalizacja, system operacyjny, obsadzenie slotów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PCIe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pozostałego czasu gwarancji</w:t>
            </w:r>
          </w:p>
          <w:p w14:paraId="022E7579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uruchamiania narzędzi zarządzających w poszczególnych urządzeniach</w:t>
            </w:r>
          </w:p>
          <w:p w14:paraId="4B5D50BD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Szybki podgląd stanu środowiska</w:t>
            </w:r>
          </w:p>
          <w:p w14:paraId="55EF3BD3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Podsumowanie stanu dla każdego urządzenia</w:t>
            </w:r>
          </w:p>
          <w:p w14:paraId="55D70456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Szczegółowy status urządzenia/elementu/komponentu</w:t>
            </w:r>
          </w:p>
          <w:p w14:paraId="34CE4CA8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Generowanie alertów przy zmianie stanu urządzenia.</w:t>
            </w:r>
          </w:p>
          <w:p w14:paraId="695F94B5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Filtry raportów umożliwiające podgląd najważniejszych zdarzeń</w:t>
            </w:r>
          </w:p>
          <w:p w14:paraId="12D8CF21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Integracja z service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desk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producenta dostarczonej platformy sprzętowej</w:t>
            </w:r>
          </w:p>
          <w:p w14:paraId="228EE3A1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przejęcia zdalnego pulpitu</w:t>
            </w:r>
          </w:p>
          <w:p w14:paraId="5EBF6BA2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podmontowania wirtualnego napędu</w:t>
            </w:r>
          </w:p>
          <w:p w14:paraId="7090FF03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Kreator umożliwiający dostosowanie akcji dla wybranych alertów</w:t>
            </w:r>
          </w:p>
          <w:p w14:paraId="05941C24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importu plików MIB</w:t>
            </w:r>
          </w:p>
          <w:p w14:paraId="1E0842E8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Przesyłanie alertów „as-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is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” do innych konsol firm trzecich</w:t>
            </w:r>
          </w:p>
          <w:p w14:paraId="3DFB901A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definiowania ról administratorów</w:t>
            </w:r>
          </w:p>
          <w:p w14:paraId="76D41CC5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lastRenderedPageBreak/>
              <w:t>Możliwość zdalnej aktualizacji oprogramowania wewnętrznego serwerów</w:t>
            </w:r>
          </w:p>
          <w:p w14:paraId="42609DEA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Aktualizacja oparta o wybranie źródła bibliotek (lokalna, on-line producenta oferowanego rozwiązania)</w:t>
            </w:r>
          </w:p>
          <w:p w14:paraId="0F96E6AA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instalacji oprogramowania wewnętrznego bez potrzeby instalacji agenta</w:t>
            </w:r>
          </w:p>
          <w:p w14:paraId="2B1BB444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automatycznego generowania i zgłaszania incydentów awarii bezpośrednio do centrum serwisowego producenta serwerów</w:t>
            </w:r>
          </w:p>
          <w:p w14:paraId="60DF6A7F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76056326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tworzenia sprzętowej konfiguracji bazowej i na jej podstawie weryfikacji środowiska w celu wykrycia rozbieżności.</w:t>
            </w:r>
          </w:p>
          <w:p w14:paraId="47B9A0EA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Wdrażanie serwerów, rozwiązań modularnych oraz przełączników sieciowych w oparciu o profile</w:t>
            </w:r>
          </w:p>
          <w:p w14:paraId="375F1171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migracji ustawień serwera wraz z wirtualnymi adresami sieciowymi (MAC, WWN, IQN) między urządzeniami.</w:t>
            </w:r>
          </w:p>
          <w:p w14:paraId="552CED1F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Tworzenie gotowych paczek informacji umożliwiających zdiagnozowanie awarii urządzenia przez serwis producenta.</w:t>
            </w:r>
          </w:p>
          <w:p w14:paraId="3791ACA2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Zdalne uruchamianie diagnostyki serwera.</w:t>
            </w:r>
          </w:p>
          <w:p w14:paraId="6A988BAE" w14:textId="77777777" w:rsidR="000C3D20" w:rsidRPr="00143E90" w:rsidRDefault="000C3D20" w:rsidP="002C7622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Dedykowana aplikacja na urządzenia mobilne integrująca się z wyżej opisanymi oprogramowaniem zarządzającym.</w:t>
            </w:r>
          </w:p>
        </w:tc>
        <w:tc>
          <w:tcPr>
            <w:tcW w:w="2126" w:type="dxa"/>
          </w:tcPr>
          <w:p w14:paraId="79338154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lastRenderedPageBreak/>
              <w:t>Tak/nie*</w:t>
            </w:r>
          </w:p>
        </w:tc>
      </w:tr>
      <w:tr w:rsidR="000C3D20" w:rsidRPr="00143E90" w14:paraId="3D48B08B" w14:textId="77777777" w:rsidTr="000C3D20">
        <w:trPr>
          <w:trHeight w:val="658"/>
        </w:trPr>
        <w:tc>
          <w:tcPr>
            <w:tcW w:w="851" w:type="dxa"/>
          </w:tcPr>
          <w:p w14:paraId="7E825ECD" w14:textId="3B45EECC" w:rsidR="000C3D20" w:rsidRPr="000C3D20" w:rsidRDefault="000C3D20" w:rsidP="002C7622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0C3D20">
              <w:rPr>
                <w:bCs/>
                <w:spacing w:val="20"/>
                <w:lang w:val="pl-PL"/>
              </w:rPr>
              <w:lastRenderedPageBreak/>
              <w:t>19.</w:t>
            </w:r>
          </w:p>
        </w:tc>
        <w:tc>
          <w:tcPr>
            <w:tcW w:w="2126" w:type="dxa"/>
          </w:tcPr>
          <w:p w14:paraId="2ACA752E" w14:textId="43E68B7F" w:rsidR="000C3D20" w:rsidRPr="006F5C46" w:rsidRDefault="000C3D20" w:rsidP="002C7622">
            <w:pPr>
              <w:spacing w:line="276" w:lineRule="auto"/>
              <w:rPr>
                <w:spacing w:val="20"/>
              </w:rPr>
            </w:pPr>
            <w:r w:rsidRPr="006F5C46">
              <w:rPr>
                <w:bCs/>
                <w:spacing w:val="20"/>
                <w:lang w:val="pl-PL"/>
              </w:rPr>
              <w:t>Oprogramowanie do monitorowania</w:t>
            </w:r>
          </w:p>
        </w:tc>
        <w:tc>
          <w:tcPr>
            <w:tcW w:w="5245" w:type="dxa"/>
            <w:vAlign w:val="center"/>
          </w:tcPr>
          <w:p w14:paraId="33FE392F" w14:textId="77777777" w:rsidR="000C3D20" w:rsidRPr="00143E90" w:rsidRDefault="000C3D20" w:rsidP="002C7622">
            <w:pPr>
              <w:spacing w:after="0"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Oparta na chmurze aplikacja Producenta oferowanego urządzenia, która zapewnia proaktywne monitorowanie i rozwiązywanie problemów infrastruktury IT. Zaproponowane rozwiązanie musi posiadać następujące funkcjonalności:</w:t>
            </w:r>
          </w:p>
          <w:p w14:paraId="3AE480E3" w14:textId="77777777" w:rsidR="000C3D20" w:rsidRPr="00143E90" w:rsidRDefault="000C3D20" w:rsidP="002C7622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Monitoring:</w:t>
            </w:r>
          </w:p>
          <w:p w14:paraId="6B3162DF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ilość podłączonych oraz rozłączonych systemów</w:t>
            </w:r>
          </w:p>
          <w:p w14:paraId="60AB001E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stan podłączonych urządzeń </w:t>
            </w:r>
          </w:p>
          <w:p w14:paraId="1B306986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informacje o potencjalnych zagrożeniach związanych z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cyberbezpieczeństwem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w oparciu o najlepsze praktyki i szczegółową analizę posiadanych systemów</w:t>
            </w:r>
          </w:p>
          <w:p w14:paraId="2B4CFF5D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o alertach z podziałem na minimum: krytyczne, błędy, ostrzeżenia</w:t>
            </w:r>
          </w:p>
          <w:p w14:paraId="43ED69C7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o statusie gwarancji dla poszczególnych urządzeń</w:t>
            </w:r>
          </w:p>
          <w:p w14:paraId="05FFCCB7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informacje o stanie licencji na posiadane oprogramowanie rozszerzające funkcjonalności urządzeń </w:t>
            </w:r>
          </w:p>
          <w:p w14:paraId="415D3EA7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31397305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Wykrywanie anomalii w oparciu o analizę zajętości przestrzeni na pamięciach masowych</w:t>
            </w:r>
          </w:p>
          <w:p w14:paraId="03FE654E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518116AF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Monitorowanie wydajności, przepustowości oraz opóźnień dla systemy pamięci masowych.</w:t>
            </w:r>
          </w:p>
          <w:p w14:paraId="60501E00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Zaimplementowana analityka predykcyjna umożliwiająca określenie szacowanego czasu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>awarii dla optyki przełączników FC.</w:t>
            </w:r>
          </w:p>
          <w:p w14:paraId="7C9BCB73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Szczegółowe informacje dla serwerów o modelu, konfiguracji, wersjach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poszczególnych komponentów adresacji IP karty zarządzającej.</w:t>
            </w:r>
          </w:p>
          <w:p w14:paraId="7FD8F8BA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Monitoring parametrów serwerów z informacją o minimum:</w:t>
            </w:r>
          </w:p>
          <w:p w14:paraId="41CB04CF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Obciążeniu procesora</w:t>
            </w:r>
          </w:p>
          <w:p w14:paraId="2484622D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Zużyciu pamięci RAM</w:t>
            </w:r>
          </w:p>
          <w:p w14:paraId="05B71E2F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Temperaturze procesorów</w:t>
            </w:r>
          </w:p>
          <w:p w14:paraId="5D0DAFA3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Temperaturze powietrza wlotowego</w:t>
            </w:r>
          </w:p>
          <w:p w14:paraId="7117F3C0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Zużyciu prądu</w:t>
            </w:r>
          </w:p>
          <w:p w14:paraId="3EEF1066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Zmianach w fizycznej konfiguracji serwera</w:t>
            </w:r>
          </w:p>
          <w:p w14:paraId="7454F86F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Dla wszystkich wymienionych parametrów muszą być dostępne dane historyczne oraz automatycznie generowana informacja o anomaliach.</w:t>
            </w:r>
          </w:p>
          <w:p w14:paraId="7ACBC34A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Monitoring parametrów pamięci masowych z informacją o minimum:</w:t>
            </w:r>
          </w:p>
          <w:p w14:paraId="760FEF95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Opóźnieniach</w:t>
            </w:r>
          </w:p>
          <w:p w14:paraId="5C671127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IOPS</w:t>
            </w:r>
          </w:p>
          <w:p w14:paraId="7909DFE7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Przepustowości</w:t>
            </w:r>
          </w:p>
          <w:p w14:paraId="0ADF9FDA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Utylizacji kontrolerów</w:t>
            </w:r>
          </w:p>
          <w:p w14:paraId="40041648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Pojemność całkowita i dostępna</w:t>
            </w:r>
          </w:p>
          <w:p w14:paraId="77D7A8D0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Wszystkie informacje muszą być dostępne zarówno dla całej pamięci masowej jak i poszczególnych LUN-ów.</w:t>
            </w:r>
          </w:p>
          <w:p w14:paraId="2774198B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Dla wszystkich wymienionych powyżej parametrów muszą być dostępne dane historyczne oraz automatycznie generowana informacja o anomaliach.</w:t>
            </w:r>
          </w:p>
          <w:p w14:paraId="2C04A537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Dane historyczne o wykorzystaniu przestrzeni pamięci masowej muszą być przechowywane co najmniej 2 lata</w:t>
            </w:r>
          </w:p>
          <w:p w14:paraId="4942FFE7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o poziomie redukcji danych</w:t>
            </w:r>
          </w:p>
          <w:p w14:paraId="2A60215A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Informacje o statusie replikacji oraz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snapshotów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</w:t>
            </w:r>
          </w:p>
          <w:p w14:paraId="44EC4AC5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>Monitoring parametrów przełączników sieciowych z informacją o minimum:</w:t>
            </w:r>
          </w:p>
          <w:p w14:paraId="37FD2F93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Modelu, oprogramowania, adresacji IP, MAC adres, nr seryjny</w:t>
            </w:r>
          </w:p>
          <w:p w14:paraId="0716E33D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Stanie komponentów: zasilacze, wentylatory</w:t>
            </w:r>
          </w:p>
          <w:p w14:paraId="14183D8E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Podłączonych hostach</w:t>
            </w:r>
          </w:p>
          <w:p w14:paraId="00FE3261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Ilości i statusu portów </w:t>
            </w:r>
          </w:p>
          <w:p w14:paraId="32DF52C9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Utylizacji procesora</w:t>
            </w:r>
          </w:p>
          <w:p w14:paraId="3C77AE8E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Utylizacji poszczególnych portów</w:t>
            </w:r>
          </w:p>
          <w:p w14:paraId="56705224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Dla wszystkich wymienionych powyżej parametrów muszą być dostępne dane historyczne oraz automatycznie generowana informacja o anomaliach.</w:t>
            </w:r>
          </w:p>
          <w:p w14:paraId="2E0C1B6D" w14:textId="77777777" w:rsidR="000C3D20" w:rsidRPr="00143E90" w:rsidRDefault="000C3D20" w:rsidP="002C762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Aktualizacja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</w:p>
          <w:p w14:paraId="2184F11A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oprogramowania zarządzającego dla systemów pamięci masowych, wraz z informacją o zalecanych wersjach oprogramowania</w:t>
            </w:r>
          </w:p>
          <w:p w14:paraId="04223762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oprogramowania zarządzającego dla serwerów, wraz z informacją o zalecanych wersjach oprogramowania</w:t>
            </w:r>
          </w:p>
          <w:p w14:paraId="2FB36246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oprogramowania zarządzającego dla rozwiązań HCI, wraz z informacją o zalecanych wersjach oprogramowania</w:t>
            </w:r>
          </w:p>
          <w:p w14:paraId="0FCDEFB3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dla systemów przełączników FC, wraz z informacją o zalecanych wersjach oprogramowania</w:t>
            </w:r>
          </w:p>
          <w:p w14:paraId="6A715874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, dla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deduplikatorów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wraz z informacją o zalecanych wersjach oprogramowania</w:t>
            </w:r>
          </w:p>
          <w:p w14:paraId="195B3D59" w14:textId="77777777" w:rsidR="000C3D20" w:rsidRPr="00143E90" w:rsidRDefault="000C3D20" w:rsidP="002C762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Raporty</w:t>
            </w:r>
          </w:p>
          <w:p w14:paraId="5C4D45B0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generowania raportów dla serwerów zawierających informację o:</w:t>
            </w:r>
          </w:p>
          <w:p w14:paraId="1B776049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Nazwie hosta, modelu serwera, nr serwisowym, dacie końca okresu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>kontraktu serwisowego, zainstalowanym systemie operacyjnym, protokole komunikacyjnym z systemem pamięci masowej</w:t>
            </w:r>
          </w:p>
          <w:p w14:paraId="4DB580D9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Średnim obciążeniu: procesorów, pamięci RAM, IO,</w:t>
            </w:r>
          </w:p>
          <w:p w14:paraId="471CE4BD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generowania raportów dla systemów pamięci masowych zawierających informację o:</w:t>
            </w:r>
          </w:p>
          <w:p w14:paraId="3A8013AE" w14:textId="77777777" w:rsidR="000C3D20" w:rsidRPr="00143E90" w:rsidRDefault="000C3D20" w:rsidP="002C7622">
            <w:pPr>
              <w:pStyle w:val="Akapitzlist"/>
              <w:numPr>
                <w:ilvl w:val="2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Nazwie, nr seryjnym, lokalizacji urządzenia, modelu urządzenia, wersji oprogramowania, zajętości systemu oraz poziomu redukcją danych, informacje o utworzonych LUN-ach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>i systemach pliku, status replikacji</w:t>
            </w:r>
          </w:p>
          <w:p w14:paraId="5E7FDF10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Generowanie raportów do plików CSV i PDF</w:t>
            </w:r>
          </w:p>
          <w:p w14:paraId="6A9D5562" w14:textId="77777777" w:rsidR="000C3D20" w:rsidRPr="00143E90" w:rsidRDefault="000C3D20" w:rsidP="002C762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proofErr w:type="spellStart"/>
            <w:r w:rsidRPr="00143E90">
              <w:rPr>
                <w:rFonts w:ascii="Arial" w:hAnsi="Arial" w:cs="Arial"/>
                <w:spacing w:val="20"/>
              </w:rPr>
              <w:t>Cyberbezpieczeństwo</w:t>
            </w:r>
            <w:proofErr w:type="spellEnd"/>
          </w:p>
          <w:p w14:paraId="30E17202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Analiza środowiska w oparciu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 xml:space="preserve">o najlepsze praktyki dotyczące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cyberbezpieczeństwa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53DF95A9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Musi istnieć możliwość tworzenia własnych polityk bezpieczeństwa w oparciu o wzorce dla poszczególnych urządzeń.</w:t>
            </w:r>
          </w:p>
          <w:p w14:paraId="437D538E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Stała analiza środowiska IT umożliwiająca wykrycie ataku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ransomware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na podstawie analizy posiadanych danych.</w:t>
            </w:r>
          </w:p>
          <w:p w14:paraId="39FB3C4A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przypisania dedykowanych ról dla poszczególnych administratorów.</w:t>
            </w:r>
          </w:p>
          <w:p w14:paraId="7644A438" w14:textId="77777777" w:rsidR="000C3D20" w:rsidRPr="00143E90" w:rsidRDefault="000C3D20" w:rsidP="002C762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Wspierane urządzenia</w:t>
            </w:r>
          </w:p>
          <w:p w14:paraId="425CE12B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Urządzenie Producenta dostarczane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w ramach postępowania</w:t>
            </w:r>
          </w:p>
          <w:p w14:paraId="00370CF6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Posiadane przez Zamawiającego serwery, urządzenia pamięci </w:t>
            </w:r>
            <w:r w:rsidRPr="00143E90">
              <w:rPr>
                <w:rFonts w:ascii="Arial" w:hAnsi="Arial" w:cs="Arial"/>
                <w:spacing w:val="20"/>
              </w:rPr>
              <w:lastRenderedPageBreak/>
              <w:t xml:space="preserve">masowych, przełączniki sieciowe, przełączniki SAN, rozwiązania HCI,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deduplikatorów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Producenta oferowanego urządzenia (jeśli takie są w posiadaniu Zamawiającego)</w:t>
            </w:r>
          </w:p>
          <w:p w14:paraId="5AF8E0C7" w14:textId="77777777" w:rsidR="000C3D20" w:rsidRPr="00143E90" w:rsidRDefault="000C3D20" w:rsidP="002C762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Wirtualny asystent</w:t>
            </w:r>
          </w:p>
          <w:p w14:paraId="18D420F7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Wbudowana w platformę funkcjonalność wirtualnego asystenta w oparciu o algorytmy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GenAI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przy dostępie do bazy wiedzy producenta urządzeń oraz analizie danych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z monitoringu poszczególnych elementów infrastruktury;</w:t>
            </w:r>
          </w:p>
          <w:p w14:paraId="1D017076" w14:textId="77777777" w:rsidR="000C3D20" w:rsidRPr="00143E90" w:rsidRDefault="000C3D20" w:rsidP="002C762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rozszerzenia funkcjonalności</w:t>
            </w:r>
          </w:p>
          <w:p w14:paraId="5B441257" w14:textId="77777777" w:rsidR="000C3D20" w:rsidRPr="00143E90" w:rsidRDefault="000C3D20" w:rsidP="002C7622">
            <w:pPr>
              <w:pStyle w:val="Akapitzlist"/>
              <w:numPr>
                <w:ilvl w:val="1"/>
                <w:numId w:val="6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rozbudowy systemu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o zintegrowane i dodatkowe płatne moduły do monitoringu aplikacji oraz zarządzania incydentami w ramach infrastruktury IT.</w:t>
            </w:r>
          </w:p>
          <w:p w14:paraId="5D808BA4" w14:textId="77777777" w:rsidR="000C3D20" w:rsidRPr="00143E90" w:rsidRDefault="000C3D20" w:rsidP="002C7622">
            <w:pPr>
              <w:pStyle w:val="Akapitzlist"/>
              <w:spacing w:after="0" w:line="276" w:lineRule="auto"/>
              <w:ind w:left="915"/>
              <w:jc w:val="left"/>
              <w:textAlignment w:val="baseline"/>
              <w:rPr>
                <w:rFonts w:ascii="Arial" w:hAnsi="Arial" w:cs="Arial"/>
                <w:spacing w:val="20"/>
              </w:rPr>
            </w:pPr>
          </w:p>
          <w:p w14:paraId="2779EBF8" w14:textId="77777777" w:rsidR="000C3D20" w:rsidRPr="00143E90" w:rsidRDefault="000C3D20" w:rsidP="002C7622">
            <w:pPr>
              <w:spacing w:line="276" w:lineRule="auto"/>
              <w:outlineLvl w:val="0"/>
              <w:rPr>
                <w:spacing w:val="20"/>
              </w:rPr>
            </w:pPr>
            <w:r w:rsidRPr="00143E90">
              <w:rPr>
                <w:rFonts w:eastAsia="Times New Roman"/>
                <w:spacing w:val="20"/>
                <w:lang w:val="pl-PL"/>
              </w:rPr>
              <w:t>Oferowana platforma musi posiadać dedykowaną aplikację na urządzenia iOS oraz Android</w:t>
            </w:r>
          </w:p>
        </w:tc>
        <w:tc>
          <w:tcPr>
            <w:tcW w:w="2126" w:type="dxa"/>
          </w:tcPr>
          <w:p w14:paraId="0B5E5753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lastRenderedPageBreak/>
              <w:t>Tak/nie*</w:t>
            </w:r>
          </w:p>
        </w:tc>
      </w:tr>
      <w:tr w:rsidR="000C3D20" w:rsidRPr="00143E90" w14:paraId="3A62BDB0" w14:textId="77777777" w:rsidTr="000C3D20">
        <w:trPr>
          <w:trHeight w:val="850"/>
        </w:trPr>
        <w:tc>
          <w:tcPr>
            <w:tcW w:w="851" w:type="dxa"/>
          </w:tcPr>
          <w:p w14:paraId="2A574469" w14:textId="4D1023BF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lastRenderedPageBreak/>
              <w:t>20.</w:t>
            </w:r>
          </w:p>
        </w:tc>
        <w:tc>
          <w:tcPr>
            <w:tcW w:w="2126" w:type="dxa"/>
          </w:tcPr>
          <w:p w14:paraId="28A9907A" w14:textId="6A7BCC3E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Certyfikaty </w:t>
            </w:r>
            <w:r w:rsidRPr="00143E90">
              <w:rPr>
                <w:spacing w:val="20"/>
              </w:rPr>
              <w:br/>
              <w:t>i standardy</w:t>
            </w:r>
          </w:p>
        </w:tc>
        <w:tc>
          <w:tcPr>
            <w:tcW w:w="5245" w:type="dxa"/>
          </w:tcPr>
          <w:p w14:paraId="0C1852D8" w14:textId="77777777" w:rsidR="000C3D20" w:rsidRPr="00143E90" w:rsidRDefault="000C3D20" w:rsidP="002C7622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Serwer musi być wyprodukowany zgodnie z normą ISO-9001:2015, ISO-50001 oraz ISO-14001</w:t>
            </w:r>
          </w:p>
          <w:p w14:paraId="1C2ED6A1" w14:textId="77777777" w:rsidR="000C3D20" w:rsidRPr="00143E90" w:rsidRDefault="000C3D20" w:rsidP="002C7622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Serwer musi posiadać deklaracja CE.</w:t>
            </w:r>
          </w:p>
          <w:p w14:paraId="4BEC8DC5" w14:textId="77777777" w:rsidR="000C3D20" w:rsidRPr="00143E90" w:rsidRDefault="000C3D20" w:rsidP="002C7622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 komponentów powinno odbywać się zgodnie z wymogami Dyrektywy WEEE 2002/96/EC. Produkty muszą składać się z co najmniej w 65% ze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 xml:space="preserve">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9" w:history="1">
              <w:r w:rsidRPr="00143E90">
                <w:rPr>
                  <w:rStyle w:val="Hipercze"/>
                  <w:rFonts w:ascii="Arial" w:hAnsi="Arial" w:cs="Arial"/>
                  <w:spacing w:val="20"/>
                </w:rPr>
                <w:t>www.epeat.net</w:t>
              </w:r>
            </w:hyperlink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potwierdzający spełnienie normy co najmniej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Epeat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Silver według normy wprowadzonej w 2019 roku - </w:t>
            </w:r>
            <w:r w:rsidRPr="00143E90">
              <w:rPr>
                <w:rFonts w:ascii="Arial" w:hAnsi="Arial" w:cs="Arial"/>
                <w:b/>
                <w:bCs/>
                <w:color w:val="000000"/>
                <w:spacing w:val="20"/>
              </w:rPr>
              <w:t>Wykonawca złoży dokument potwierdzający spełnianie wymogu.</w:t>
            </w:r>
          </w:p>
          <w:p w14:paraId="4D0789A5" w14:textId="77777777" w:rsidR="000C3D20" w:rsidRPr="00143E90" w:rsidRDefault="000C3D20" w:rsidP="002C7622">
            <w:pPr>
              <w:spacing w:line="276" w:lineRule="auto"/>
              <w:rPr>
                <w:bCs/>
                <w:spacing w:val="20"/>
              </w:rPr>
            </w:pPr>
            <w:r w:rsidRPr="00143E90">
              <w:rPr>
                <w:color w:val="000000"/>
                <w:spacing w:val="20"/>
                <w:lang w:val="pl-PL"/>
              </w:rPr>
              <w:t xml:space="preserve">Oferowany serwer musi znajdować się na liście Windows Server </w:t>
            </w:r>
            <w:proofErr w:type="spellStart"/>
            <w:r w:rsidRPr="00143E90">
              <w:rPr>
                <w:color w:val="000000"/>
                <w:spacing w:val="20"/>
                <w:lang w:val="pl-PL"/>
              </w:rPr>
              <w:t>Catalog</w:t>
            </w:r>
            <w:proofErr w:type="spellEnd"/>
            <w:r w:rsidRPr="00143E90">
              <w:rPr>
                <w:color w:val="000000"/>
                <w:spacing w:val="20"/>
                <w:lang w:val="pl-PL"/>
              </w:rPr>
              <w:t xml:space="preserve"> i posiadać status „</w:t>
            </w:r>
            <w:proofErr w:type="spellStart"/>
            <w:r w:rsidRPr="00143E90">
              <w:rPr>
                <w:color w:val="000000"/>
                <w:spacing w:val="20"/>
                <w:lang w:val="pl-PL"/>
              </w:rPr>
              <w:t>Certified</w:t>
            </w:r>
            <w:proofErr w:type="spellEnd"/>
            <w:r w:rsidRPr="00143E90">
              <w:rPr>
                <w:color w:val="000000"/>
                <w:spacing w:val="20"/>
                <w:lang w:val="pl-PL"/>
              </w:rPr>
              <w:t xml:space="preserve"> for Windows” dla systemów  Microsoft Windows Server 2022.</w:t>
            </w:r>
            <w:r w:rsidRPr="00143E90">
              <w:rPr>
                <w:bCs/>
                <w:spacing w:val="20"/>
              </w:rPr>
              <w:t xml:space="preserve"> </w:t>
            </w:r>
          </w:p>
          <w:p w14:paraId="353858EE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bCs/>
                <w:spacing w:val="20"/>
                <w:highlight w:val="yellow"/>
              </w:rPr>
              <w:t>Ww. dokumenty należy dostarczyć Zamawiającemu</w:t>
            </w:r>
            <w:r w:rsidRPr="00143E90">
              <w:rPr>
                <w:bCs/>
                <w:spacing w:val="20"/>
              </w:rPr>
              <w:t xml:space="preserve"> </w:t>
            </w:r>
            <w:r w:rsidRPr="00143E90">
              <w:rPr>
                <w:bCs/>
                <w:spacing w:val="20"/>
                <w:highlight w:val="yellow"/>
              </w:rPr>
              <w:t>wraz ze sprzętem komputerowym</w:t>
            </w:r>
            <w:r w:rsidRPr="00143E90">
              <w:rPr>
                <w:bCs/>
                <w:spacing w:val="20"/>
              </w:rPr>
              <w:t xml:space="preserve">   </w:t>
            </w:r>
          </w:p>
        </w:tc>
        <w:tc>
          <w:tcPr>
            <w:tcW w:w="2126" w:type="dxa"/>
          </w:tcPr>
          <w:p w14:paraId="4DB88212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lastRenderedPageBreak/>
              <w:t>Tak/nie*</w:t>
            </w:r>
          </w:p>
        </w:tc>
      </w:tr>
      <w:tr w:rsidR="000C3D20" w:rsidRPr="00143E90" w14:paraId="0B5AF18D" w14:textId="77777777" w:rsidTr="000C3D20">
        <w:trPr>
          <w:trHeight w:val="850"/>
        </w:trPr>
        <w:tc>
          <w:tcPr>
            <w:tcW w:w="851" w:type="dxa"/>
          </w:tcPr>
          <w:p w14:paraId="181814FE" w14:textId="6BA4D747" w:rsidR="000C3D20" w:rsidRPr="000C3D20" w:rsidRDefault="000C3D20" w:rsidP="002C7622">
            <w:pPr>
              <w:spacing w:line="276" w:lineRule="auto"/>
              <w:rPr>
                <w:spacing w:val="20"/>
                <w:lang w:val="pl-PL"/>
              </w:rPr>
            </w:pPr>
            <w:r w:rsidRPr="000C3D20">
              <w:rPr>
                <w:spacing w:val="20"/>
                <w:lang w:val="pl-PL"/>
              </w:rPr>
              <w:t>21.</w:t>
            </w:r>
          </w:p>
        </w:tc>
        <w:tc>
          <w:tcPr>
            <w:tcW w:w="2126" w:type="dxa"/>
          </w:tcPr>
          <w:p w14:paraId="7913D7E9" w14:textId="70E83A79" w:rsidR="000C3D20" w:rsidRPr="006F5C46" w:rsidRDefault="000C3D20" w:rsidP="002C7622">
            <w:pPr>
              <w:spacing w:line="276" w:lineRule="auto"/>
              <w:rPr>
                <w:spacing w:val="20"/>
              </w:rPr>
            </w:pPr>
            <w:r w:rsidRPr="006F5C46">
              <w:rPr>
                <w:spacing w:val="20"/>
                <w:lang w:val="pl-PL"/>
              </w:rPr>
              <w:t>Dokumentacja użytkownika</w:t>
            </w:r>
          </w:p>
        </w:tc>
        <w:tc>
          <w:tcPr>
            <w:tcW w:w="5245" w:type="dxa"/>
            <w:vAlign w:val="center"/>
          </w:tcPr>
          <w:p w14:paraId="094EF0B9" w14:textId="77777777" w:rsidR="000C3D20" w:rsidRPr="00143E90" w:rsidRDefault="000C3D20" w:rsidP="002C7622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Zamawiający wymaga dokumentacji w języku polskim lub angi</w:t>
            </w:r>
            <w:r w:rsidRPr="00143E90">
              <w:rPr>
                <w:rFonts w:ascii="Arial" w:hAnsi="Arial" w:cs="Arial"/>
                <w:i/>
                <w:spacing w:val="20"/>
              </w:rPr>
              <w:t>e</w:t>
            </w:r>
            <w:r w:rsidRPr="00143E90">
              <w:rPr>
                <w:rFonts w:ascii="Arial" w:hAnsi="Arial" w:cs="Arial"/>
                <w:spacing w:val="20"/>
              </w:rPr>
              <w:t>lskim.</w:t>
            </w:r>
          </w:p>
          <w:p w14:paraId="34758C0D" w14:textId="77777777" w:rsidR="000C3D20" w:rsidRPr="00143E90" w:rsidRDefault="000C3D20" w:rsidP="002C7622">
            <w:pPr>
              <w:spacing w:line="276" w:lineRule="auto"/>
              <w:rPr>
                <w:bCs/>
                <w:color w:val="FF0000"/>
                <w:spacing w:val="20"/>
              </w:rPr>
            </w:pPr>
            <w:r w:rsidRPr="00143E90">
              <w:rPr>
                <w:bCs/>
                <w:spacing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2126" w:type="dxa"/>
          </w:tcPr>
          <w:p w14:paraId="1C8A93F5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t>Tak/nie*</w:t>
            </w:r>
          </w:p>
        </w:tc>
      </w:tr>
      <w:tr w:rsidR="000C3D20" w:rsidRPr="00143E90" w14:paraId="48414864" w14:textId="77777777" w:rsidTr="000C3D20">
        <w:trPr>
          <w:trHeight w:val="850"/>
        </w:trPr>
        <w:tc>
          <w:tcPr>
            <w:tcW w:w="851" w:type="dxa"/>
          </w:tcPr>
          <w:p w14:paraId="2485936C" w14:textId="55C6EED9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22.</w:t>
            </w:r>
          </w:p>
        </w:tc>
        <w:tc>
          <w:tcPr>
            <w:tcW w:w="2126" w:type="dxa"/>
          </w:tcPr>
          <w:p w14:paraId="3AF17601" w14:textId="6EEA1070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Warunki gwarancji</w:t>
            </w:r>
          </w:p>
        </w:tc>
        <w:tc>
          <w:tcPr>
            <w:tcW w:w="5245" w:type="dxa"/>
          </w:tcPr>
          <w:p w14:paraId="5C48DEA7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Zamawiający wymaga zapewnienia gwarancji Producenta z zakresu wdrażanej technologii na okres 3 lat.</w:t>
            </w:r>
          </w:p>
          <w:p w14:paraId="729281C9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7989E30B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Zamawiający wymaga pojedynczego punktu kontaktu dla całego rozwiązania Producenta, w tym także sprzedanego oprogramowania. </w:t>
            </w:r>
          </w:p>
          <w:p w14:paraId="39D813E8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>Zamawiający oczekuje możliwości samodzielnego kwalifikowania poziomu ważności naprawy.</w:t>
            </w:r>
          </w:p>
          <w:p w14:paraId="31808F50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2C06B659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Naprawa ma się odbyć w siedzibie zamawiającego, chyba, że zamawiający dla danej naprawy zgodzi się na inną formę.  </w:t>
            </w:r>
          </w:p>
          <w:p w14:paraId="188E3659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Zamawiający oczekuje nieodpłatnego udostępnienia narzędzi serwisowych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 procesów wsparcia umożliwiających: Wykrywanie usterek sprzętowych z predykcją awarii, automatyczną diagnostykę i zdalne otwieranie zgłoszeń serwisowych, wskazówki dotyczące bezpieczeństwa produktów, samodzielne wysyłanie części,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>a także ocena bezpieczeństwa cybernetycznego.</w:t>
            </w:r>
          </w:p>
          <w:p w14:paraId="22C7A8C9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60A2E030" w14:textId="77777777" w:rsidR="000C3D20" w:rsidRPr="00143E90" w:rsidRDefault="000C3D20" w:rsidP="00143E90">
            <w:pPr>
              <w:pStyle w:val="Akapitzlist"/>
              <w:numPr>
                <w:ilvl w:val="1"/>
                <w:numId w:val="7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Możliwości utworzenia zgłaszania serwisowego w wyniku, którego proces diagnostyki odbędzie się na miejscu w siedzibie zamawiającego.</w:t>
            </w:r>
          </w:p>
          <w:p w14:paraId="637F81FA" w14:textId="77777777" w:rsidR="000C3D20" w:rsidRPr="00143E90" w:rsidRDefault="000C3D20" w:rsidP="00143E90">
            <w:pPr>
              <w:pStyle w:val="Akapitzlist"/>
              <w:numPr>
                <w:ilvl w:val="1"/>
                <w:numId w:val="7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2DAA4D48" w14:textId="77777777" w:rsidR="000C3D20" w:rsidRPr="00143E90" w:rsidRDefault="000C3D20" w:rsidP="00143E90">
            <w:pPr>
              <w:pStyle w:val="Akapitzlist"/>
              <w:numPr>
                <w:ilvl w:val="1"/>
                <w:numId w:val="7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Reakcja na miejscu u Zamawiającego powinna nastąpić w okresie zgodnym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 czasem reakcji przypisanym do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lastRenderedPageBreak/>
              <w:t xml:space="preserve">urządzenia, które posiada wykupioną usługę serwisową. </w:t>
            </w:r>
          </w:p>
          <w:p w14:paraId="7963877D" w14:textId="77777777" w:rsidR="000C3D20" w:rsidRPr="00143E90" w:rsidRDefault="000C3D20" w:rsidP="00143E90">
            <w:pPr>
              <w:pStyle w:val="Akapitzlist"/>
              <w:numPr>
                <w:ilvl w:val="1"/>
                <w:numId w:val="7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7A51B96C" w14:textId="77777777" w:rsidR="000C3D20" w:rsidRPr="00143E90" w:rsidRDefault="000C3D20" w:rsidP="00143E90">
            <w:pPr>
              <w:pStyle w:val="Akapitzlist"/>
              <w:numPr>
                <w:ilvl w:val="1"/>
                <w:numId w:val="7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2C435D8B" w14:textId="77777777" w:rsidR="000C3D20" w:rsidRPr="00143E90" w:rsidRDefault="000C3D20" w:rsidP="00143E90">
            <w:pPr>
              <w:pStyle w:val="Akapitzlist"/>
              <w:numPr>
                <w:ilvl w:val="0"/>
                <w:numId w:val="7"/>
              </w:numPr>
              <w:spacing w:line="276" w:lineRule="auto"/>
              <w:ind w:left="199" w:hanging="141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2F687A55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5629EABD" w14:textId="77777777" w:rsidR="000C3D20" w:rsidRPr="00143E90" w:rsidRDefault="000C3D20" w:rsidP="002C7622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(</w:t>
            </w:r>
            <w:r w:rsidRPr="00143E90">
              <w:rPr>
                <w:spacing w:val="20"/>
                <w:highlight w:val="yellow"/>
              </w:rPr>
              <w:t>oświadczenie należy</w:t>
            </w:r>
            <w:r w:rsidRPr="00143E90">
              <w:rPr>
                <w:spacing w:val="20"/>
              </w:rPr>
              <w:t xml:space="preserve"> </w:t>
            </w:r>
            <w:r w:rsidRPr="00143E90">
              <w:rPr>
                <w:bCs/>
                <w:spacing w:val="20"/>
                <w:highlight w:val="yellow"/>
              </w:rPr>
              <w:t>dostarczyć Zamawiającemu</w:t>
            </w:r>
            <w:r w:rsidRPr="00143E90">
              <w:rPr>
                <w:bCs/>
                <w:spacing w:val="20"/>
              </w:rPr>
              <w:t xml:space="preserve"> </w:t>
            </w:r>
            <w:r w:rsidRPr="00143E90">
              <w:rPr>
                <w:bCs/>
                <w:spacing w:val="20"/>
                <w:highlight w:val="yellow"/>
              </w:rPr>
              <w:t>wraz ze sprzętem komputerowym</w:t>
            </w:r>
            <w:r w:rsidRPr="00143E90">
              <w:rPr>
                <w:bCs/>
                <w:spacing w:val="20"/>
              </w:rPr>
              <w:t>)</w:t>
            </w:r>
            <w:r w:rsidRPr="00143E90">
              <w:rPr>
                <w:spacing w:val="20"/>
              </w:rPr>
              <w:t>.</w:t>
            </w:r>
          </w:p>
        </w:tc>
        <w:tc>
          <w:tcPr>
            <w:tcW w:w="2126" w:type="dxa"/>
          </w:tcPr>
          <w:p w14:paraId="211F4907" w14:textId="77777777" w:rsidR="000C3D20" w:rsidRPr="00143E90" w:rsidRDefault="000C3D20" w:rsidP="00676DDE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43E90">
              <w:rPr>
                <w:spacing w:val="20"/>
                <w:sz w:val="24"/>
                <w:szCs w:val="24"/>
              </w:rPr>
              <w:lastRenderedPageBreak/>
              <w:t>Tak/nie*</w:t>
            </w:r>
          </w:p>
        </w:tc>
      </w:tr>
    </w:tbl>
    <w:p w14:paraId="6F3AAAFC" w14:textId="567A12A5" w:rsidR="000C3D20" w:rsidRDefault="00D119AF" w:rsidP="002C7622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lastRenderedPageBreak/>
        <w:br/>
      </w:r>
      <w:r w:rsidR="002C7622">
        <w:rPr>
          <w:b/>
          <w:spacing w:val="20"/>
          <w:sz w:val="24"/>
          <w:szCs w:val="24"/>
        </w:rPr>
        <w:t>UWAGA!</w:t>
      </w:r>
      <w:r w:rsidR="002C7622" w:rsidRPr="00FD4928">
        <w:rPr>
          <w:b/>
          <w:color w:val="000000" w:themeColor="text1"/>
          <w:spacing w:val="20"/>
          <w:sz w:val="24"/>
          <w:szCs w:val="24"/>
        </w:rPr>
        <w:br/>
      </w:r>
      <w:r w:rsidR="007650B9">
        <w:rPr>
          <w:b/>
          <w:bCs/>
          <w:color w:val="000000" w:themeColor="text1"/>
          <w:spacing w:val="20"/>
          <w:sz w:val="24"/>
          <w:szCs w:val="24"/>
        </w:rPr>
        <w:t>* K</w:t>
      </w:r>
      <w:r w:rsidR="000C3D20">
        <w:rPr>
          <w:b/>
          <w:bCs/>
          <w:color w:val="000000" w:themeColor="text1"/>
          <w:spacing w:val="20"/>
          <w:sz w:val="24"/>
          <w:szCs w:val="24"/>
        </w:rPr>
        <w:t>olumna nr 4</w:t>
      </w:r>
      <w:r w:rsidR="002C7622" w:rsidRPr="002C7622">
        <w:rPr>
          <w:b/>
          <w:bCs/>
          <w:color w:val="000000" w:themeColor="text1"/>
          <w:spacing w:val="20"/>
          <w:sz w:val="24"/>
          <w:szCs w:val="24"/>
        </w:rPr>
        <w:t xml:space="preserve"> - do wypełnienia przez Wykonawcę. Wykonawca może zaoferować parametry wyższe od minimalnych wymaganych p</w:t>
      </w:r>
      <w:r w:rsidR="000C3D20">
        <w:rPr>
          <w:b/>
          <w:bCs/>
          <w:color w:val="000000" w:themeColor="text1"/>
          <w:spacing w:val="20"/>
          <w:sz w:val="24"/>
          <w:szCs w:val="24"/>
        </w:rPr>
        <w:t>rzez Zamawiającego (kolumna nr 3</w:t>
      </w:r>
      <w:r w:rsidR="002C7622" w:rsidRPr="002C7622">
        <w:rPr>
          <w:b/>
          <w:bCs/>
          <w:color w:val="000000" w:themeColor="text1"/>
          <w:spacing w:val="20"/>
          <w:sz w:val="24"/>
          <w:szCs w:val="24"/>
        </w:rPr>
        <w:t xml:space="preserve">) lub równoważne, nie gorsze niż określone przez Zamawiającego. </w:t>
      </w:r>
      <w:r w:rsidR="002C7622" w:rsidRPr="002C7622">
        <w:rPr>
          <w:b/>
          <w:bCs/>
          <w:color w:val="000000" w:themeColor="text1"/>
          <w:spacing w:val="20"/>
          <w:sz w:val="24"/>
          <w:szCs w:val="24"/>
        </w:rPr>
        <w:br/>
      </w:r>
      <w:r w:rsidR="002C7622" w:rsidRPr="002C7622">
        <w:rPr>
          <w:color w:val="000000" w:themeColor="text1"/>
          <w:spacing w:val="20"/>
          <w:sz w:val="24"/>
          <w:szCs w:val="24"/>
        </w:rPr>
        <w:lastRenderedPageBreak/>
        <w:t xml:space="preserve">Zamawiający wymaga wypełnienia ww. kolumny </w:t>
      </w:r>
      <w:r w:rsidR="00C47F86">
        <w:rPr>
          <w:color w:val="000000" w:themeColor="text1"/>
          <w:spacing w:val="20"/>
          <w:sz w:val="24"/>
          <w:szCs w:val="24"/>
        </w:rPr>
        <w:t>w sposób niżej określony</w:t>
      </w:r>
      <w:r w:rsidR="000C3D20">
        <w:rPr>
          <w:color w:val="000000" w:themeColor="text1"/>
          <w:spacing w:val="20"/>
          <w:sz w:val="24"/>
          <w:szCs w:val="24"/>
        </w:rPr>
        <w:t>:</w:t>
      </w:r>
    </w:p>
    <w:p w14:paraId="211CD33E" w14:textId="7032E1F8" w:rsidR="000C3D20" w:rsidRPr="000C3D20" w:rsidRDefault="002C7622" w:rsidP="000C3D20">
      <w:pPr>
        <w:pStyle w:val="Akapitzlist"/>
        <w:numPr>
          <w:ilvl w:val="0"/>
          <w:numId w:val="15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 xml:space="preserve"> </w:t>
      </w:r>
      <w:r w:rsidR="00C47F86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="001F74D1"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 w:rsidR="00C47F86">
        <w:rPr>
          <w:rFonts w:ascii="Arial" w:hAnsi="Arial" w:cs="Arial"/>
          <w:color w:val="000000" w:themeColor="text1"/>
          <w:spacing w:val="20"/>
          <w:sz w:val="24"/>
          <w:szCs w:val="24"/>
        </w:rPr>
        <w:t>e</w:t>
      </w:r>
      <w:r w:rsidR="001F74D1"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nr 1, 5</w:t>
      </w:r>
      <w:r w:rsidR="001F74D1">
        <w:rPr>
          <w:rFonts w:ascii="Arial" w:hAnsi="Arial" w:cs="Arial"/>
          <w:color w:val="000000" w:themeColor="text1"/>
          <w:spacing w:val="20"/>
          <w:sz w:val="24"/>
          <w:szCs w:val="24"/>
        </w:rPr>
        <w:t>-</w:t>
      </w:r>
      <w:r w:rsidR="001F74D1"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8,</w:t>
      </w:r>
      <w:r w:rsid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="001F74D1"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14</w:t>
      </w:r>
      <w:r w:rsidR="001F74D1">
        <w:rPr>
          <w:color w:val="000000" w:themeColor="text1"/>
          <w:spacing w:val="20"/>
          <w:sz w:val="24"/>
          <w:szCs w:val="24"/>
        </w:rPr>
        <w:t xml:space="preserve"> – </w:t>
      </w:r>
      <w:r w:rsidR="00C47F86">
        <w:rPr>
          <w:color w:val="000000" w:themeColor="text1"/>
          <w:spacing w:val="20"/>
          <w:sz w:val="24"/>
          <w:szCs w:val="24"/>
        </w:rPr>
        <w:t xml:space="preserve"> </w:t>
      </w:r>
      <w:r w:rsidR="00C47F86"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="00C47F86"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="00C47F86">
        <w:rPr>
          <w:rFonts w:ascii="Arial" w:hAnsi="Arial" w:cs="Arial"/>
          <w:color w:val="000000" w:themeColor="text1"/>
          <w:spacing w:val="20"/>
          <w:sz w:val="24"/>
          <w:szCs w:val="24"/>
        </w:rPr>
        <w:t>konkretne</w:t>
      </w:r>
      <w:r w:rsid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arametry </w:t>
      </w:r>
      <w:r w:rsidR="000C3D20">
        <w:rPr>
          <w:rFonts w:ascii="Arial" w:hAnsi="Arial" w:cs="Arial"/>
          <w:color w:val="000000" w:themeColor="text1"/>
          <w:spacing w:val="20"/>
          <w:sz w:val="24"/>
          <w:szCs w:val="24"/>
        </w:rPr>
        <w:t>oferowanego serwera</w:t>
      </w:r>
      <w:r w:rsidR="001F74D1">
        <w:rPr>
          <w:rFonts w:ascii="Arial" w:hAnsi="Arial" w:cs="Arial"/>
          <w:color w:val="000000" w:themeColor="text1"/>
          <w:spacing w:val="20"/>
          <w:sz w:val="24"/>
          <w:szCs w:val="24"/>
        </w:rPr>
        <w:t>,</w:t>
      </w:r>
    </w:p>
    <w:p w14:paraId="19C9E918" w14:textId="7BF0225E" w:rsidR="000C3D20" w:rsidRPr="000C3D20" w:rsidRDefault="00C47F86" w:rsidP="000C3D20">
      <w:pPr>
        <w:pStyle w:val="Akapitzlist"/>
        <w:numPr>
          <w:ilvl w:val="0"/>
          <w:numId w:val="15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Pozycje</w:t>
      </w:r>
      <w:r w:rsid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nr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2-</w:t>
      </w:r>
      <w:r w:rsidR="001F74D1">
        <w:rPr>
          <w:rFonts w:ascii="Arial" w:hAnsi="Arial" w:cs="Arial"/>
          <w:color w:val="000000" w:themeColor="text1"/>
          <w:spacing w:val="20"/>
          <w:sz w:val="24"/>
          <w:szCs w:val="24"/>
        </w:rPr>
        <w:t>4, 9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–13, 15-22 – należy zaznaczyć</w:t>
      </w:r>
      <w:r w:rsidR="000C3D20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odpowiedź</w:t>
      </w:r>
      <w:r w:rsidR="000C3D20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„TAK lub NIE”</w:t>
      </w:r>
      <w:r w:rsidR="002C7622"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. </w:t>
      </w:r>
    </w:p>
    <w:p w14:paraId="0B82FCAC" w14:textId="42FA3814" w:rsidR="002C7622" w:rsidRPr="000C3D20" w:rsidRDefault="002C7622" w:rsidP="000C3D20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>Brak w ofercie jednoznacznego wskazania wymaganego parametru lub potwierdzenia parametru</w:t>
      </w:r>
      <w:r w:rsidR="00CD6F73">
        <w:rPr>
          <w:color w:val="000000" w:themeColor="text1"/>
          <w:spacing w:val="20"/>
          <w:sz w:val="24"/>
          <w:szCs w:val="24"/>
        </w:rPr>
        <w:t xml:space="preserve"> – zgodnie z ww. zapisami</w:t>
      </w:r>
      <w:r w:rsidRPr="000C3D20">
        <w:rPr>
          <w:color w:val="000000" w:themeColor="text1"/>
          <w:spacing w:val="20"/>
          <w:sz w:val="24"/>
          <w:szCs w:val="24"/>
        </w:rPr>
        <w:t xml:space="preserve"> i/lub zmiana </w:t>
      </w:r>
      <w:r w:rsidRPr="000C3D20">
        <w:rPr>
          <w:rFonts w:eastAsia="MS Sans Serif"/>
          <w:color w:val="000000" w:themeColor="text1"/>
          <w:spacing w:val="20"/>
          <w:sz w:val="24"/>
          <w:szCs w:val="24"/>
          <w:lang w:eastAsia="en-US"/>
        </w:rPr>
        <w:t>opisów pozycji,</w:t>
      </w:r>
      <w:r w:rsidRPr="000C3D20">
        <w:rPr>
          <w:color w:val="000000" w:themeColor="text1"/>
          <w:spacing w:val="20"/>
          <w:sz w:val="24"/>
          <w:szCs w:val="24"/>
        </w:rPr>
        <w:t xml:space="preserve"> spowoduje odrzucenie oferty na podstawie art. 226 ust. 1 pkt. 5) ustawy </w:t>
      </w:r>
      <w:proofErr w:type="spellStart"/>
      <w:r w:rsidRPr="000C3D20">
        <w:rPr>
          <w:color w:val="000000" w:themeColor="text1"/>
          <w:spacing w:val="20"/>
          <w:sz w:val="24"/>
          <w:szCs w:val="24"/>
        </w:rPr>
        <w:t>Pzp</w:t>
      </w:r>
      <w:proofErr w:type="spellEnd"/>
      <w:r w:rsidRPr="000C3D20">
        <w:rPr>
          <w:color w:val="000000" w:themeColor="text1"/>
          <w:spacing w:val="20"/>
          <w:sz w:val="24"/>
          <w:szCs w:val="24"/>
        </w:rPr>
        <w:t xml:space="preserve"> jako oferty, której treść jest niezgodna z warunkami zamówienia. </w:t>
      </w:r>
    </w:p>
    <w:p w14:paraId="70E895D2" w14:textId="6C338EAC" w:rsidR="00D13B95" w:rsidRPr="00CD6F73" w:rsidRDefault="00CD6F73" w:rsidP="00CD6F73">
      <w:pPr>
        <w:spacing w:before="120" w:line="276" w:lineRule="auto"/>
        <w:rPr>
          <w:b/>
          <w:bCs/>
          <w:color w:val="000000" w:themeColor="text1"/>
          <w:spacing w:val="20"/>
          <w:sz w:val="24"/>
          <w:szCs w:val="24"/>
        </w:rPr>
      </w:pPr>
      <w:r>
        <w:rPr>
          <w:b/>
          <w:bCs/>
          <w:color w:val="000000" w:themeColor="text1"/>
          <w:spacing w:val="20"/>
          <w:sz w:val="24"/>
          <w:szCs w:val="24"/>
        </w:rPr>
        <w:br/>
      </w:r>
      <w:r w:rsidR="00D13B95">
        <w:rPr>
          <w:b/>
          <w:bCs/>
          <w:color w:val="000000" w:themeColor="text1"/>
          <w:spacing w:val="20"/>
          <w:sz w:val="24"/>
          <w:szCs w:val="24"/>
        </w:rPr>
        <w:t>W przypadku rozwiązań równoważnych należy uzupełnić tabelę A1.</w:t>
      </w:r>
    </w:p>
    <w:tbl>
      <w:tblPr>
        <w:tblW w:w="580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9"/>
        <w:gridCol w:w="5954"/>
        <w:gridCol w:w="2226"/>
      </w:tblGrid>
      <w:tr w:rsidR="00D13B95" w:rsidRPr="00D13B95" w14:paraId="18D8496D" w14:textId="77777777" w:rsidTr="00D13B95">
        <w:trPr>
          <w:trHeight w:val="284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25C88663" w14:textId="77777777" w:rsidR="00D13B95" w:rsidRPr="00D13B95" w:rsidRDefault="00D13B95" w:rsidP="00D13B95">
            <w:pPr>
              <w:spacing w:line="276" w:lineRule="auto"/>
              <w:ind w:left="-71"/>
              <w:jc w:val="center"/>
              <w:rPr>
                <w:b/>
                <w:spacing w:val="20"/>
              </w:rPr>
            </w:pPr>
            <w:r w:rsidRPr="00D13B95">
              <w:rPr>
                <w:b/>
                <w:spacing w:val="20"/>
              </w:rPr>
              <w:t xml:space="preserve">TABELA  A1 </w:t>
            </w:r>
            <w:r w:rsidRPr="00D13B95">
              <w:rPr>
                <w:b/>
                <w:spacing w:val="20"/>
              </w:rPr>
              <w:br/>
            </w:r>
            <w:r w:rsidRPr="00D13B95">
              <w:rPr>
                <w:b/>
                <w:color w:val="00B050"/>
                <w:spacing w:val="20"/>
              </w:rPr>
              <w:t xml:space="preserve">UWAGA! Tabelę należy wypełnić w przypadku oferowania produktu równoważnego  w stosunku do Tabela A- serwer </w:t>
            </w:r>
            <w:proofErr w:type="spellStart"/>
            <w:r w:rsidRPr="00D13B95">
              <w:rPr>
                <w:b/>
                <w:color w:val="00B050"/>
                <w:spacing w:val="20"/>
              </w:rPr>
              <w:t>rack</w:t>
            </w:r>
            <w:proofErr w:type="spellEnd"/>
            <w:r w:rsidRPr="00D13B95">
              <w:rPr>
                <w:b/>
                <w:color w:val="00B050"/>
                <w:spacing w:val="20"/>
              </w:rPr>
              <w:t>, pozycja „System operacyjny”:</w:t>
            </w:r>
          </w:p>
        </w:tc>
      </w:tr>
      <w:tr w:rsidR="00D13B95" w:rsidRPr="00D13B95" w14:paraId="7B41E79B" w14:textId="77777777" w:rsidTr="00D13B95">
        <w:trPr>
          <w:trHeight w:val="490"/>
        </w:trPr>
        <w:tc>
          <w:tcPr>
            <w:tcW w:w="1112" w:type="pct"/>
          </w:tcPr>
          <w:p w14:paraId="3C859CAF" w14:textId="77777777" w:rsidR="00D13B95" w:rsidRPr="00D13B95" w:rsidRDefault="00D13B95" w:rsidP="00D13B95">
            <w:pPr>
              <w:spacing w:line="276" w:lineRule="auto"/>
              <w:rPr>
                <w:bCs/>
                <w:spacing w:val="20"/>
              </w:rPr>
            </w:pPr>
          </w:p>
        </w:tc>
        <w:tc>
          <w:tcPr>
            <w:tcW w:w="2830" w:type="pct"/>
          </w:tcPr>
          <w:p w14:paraId="6CD8C75A" w14:textId="77777777" w:rsidR="00D13B95" w:rsidRPr="00D13B95" w:rsidRDefault="00D13B95" w:rsidP="00D13B95">
            <w:pPr>
              <w:pStyle w:val="Default"/>
              <w:spacing w:line="276" w:lineRule="auto"/>
              <w:rPr>
                <w:rFonts w:ascii="Arial" w:eastAsia="Calibri" w:hAnsi="Arial" w:cs="Arial"/>
                <w:spacing w:val="20"/>
                <w:sz w:val="22"/>
                <w:szCs w:val="22"/>
              </w:rPr>
            </w:pPr>
            <w:r w:rsidRPr="00DD2019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 xml:space="preserve">W przypadku zaoferowania przez Wykonawcę licencji systemu równoważnego do systemu Microsoft Windows Server 2022/2025 , Zamawiający wymaga dostarczenia odpowiedniej ilości licencji  dla serwera fizycznego oraz serwerów wirtualnych, oraz instalację i migrację obecnego środowiska.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Zamawiający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wymaga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 xml:space="preserve"> aby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produkt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równoważny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spełniał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niżej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wymienione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wymagania</w:t>
            </w:r>
            <w:proofErr w:type="spellEnd"/>
            <w:r w:rsidRPr="00D13B95">
              <w:rPr>
                <w:rFonts w:ascii="Arial" w:hAnsi="Arial" w:cs="Arial"/>
                <w:spacing w:val="20"/>
                <w:sz w:val="22"/>
                <w:szCs w:val="22"/>
              </w:rPr>
              <w:t>:</w:t>
            </w:r>
          </w:p>
          <w:p w14:paraId="5364C978" w14:textId="77777777" w:rsidR="00D13B95" w:rsidRPr="00D13B95" w:rsidRDefault="00D13B95" w:rsidP="00D13B95">
            <w:pPr>
              <w:spacing w:line="276" w:lineRule="auto"/>
              <w:rPr>
                <w:spacing w:val="20"/>
              </w:rPr>
            </w:pPr>
          </w:p>
          <w:p w14:paraId="5C91F182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Współpraca z procesorami o architekturze x86 – 64bit.</w:t>
            </w:r>
          </w:p>
          <w:p w14:paraId="65EAFE29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Instalacja i użytkowanie aplikacji 32-bit. i 64-bit. na dostarczonym systemie operacyjnym.</w:t>
            </w:r>
          </w:p>
          <w:p w14:paraId="0325675B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budowania klastrów składających się z 64 węzłów.</w:t>
            </w:r>
          </w:p>
          <w:p w14:paraId="4CFAB638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Licencja/licencje muszą obsłużyć serwer fizyczny wyposażony w zaproponowane procesory / fizyczne rdzenie.</w:t>
            </w:r>
          </w:p>
          <w:p w14:paraId="492D69F9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Praca w roli klienta domeny Microsoft Active Directory.</w:t>
            </w:r>
          </w:p>
          <w:p w14:paraId="6E4747F3" w14:textId="52C3C2BB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uruchomienia roli kontrolera domeny Microsoft Active Directory na poziomie funkcjonalności Microsoft Windows Server 201</w:t>
            </w:r>
            <w:r w:rsidR="00DD2019">
              <w:rPr>
                <w:spacing w:val="20"/>
              </w:rPr>
              <w:t>9</w:t>
            </w:r>
            <w:r w:rsidRPr="00D13B95">
              <w:rPr>
                <w:spacing w:val="20"/>
              </w:rPr>
              <w:t>.</w:t>
            </w:r>
          </w:p>
          <w:p w14:paraId="3FA034F5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Możliwość federowania klastrów typu </w:t>
            </w:r>
            <w:proofErr w:type="spellStart"/>
            <w:r w:rsidRPr="00D13B95">
              <w:rPr>
                <w:spacing w:val="20"/>
              </w:rPr>
              <w:t>failover</w:t>
            </w:r>
            <w:proofErr w:type="spellEnd"/>
            <w:r w:rsidRPr="00D13B95">
              <w:rPr>
                <w:spacing w:val="20"/>
              </w:rPr>
              <w:t xml:space="preserve"> w zespół klastrów (Cluster Set) </w:t>
            </w:r>
            <w:r w:rsidRPr="00D13B95">
              <w:rPr>
                <w:spacing w:val="20"/>
              </w:rPr>
              <w:lastRenderedPageBreak/>
              <w:t>z możliwością przenoszenia maszyn wirtualnych wewnątrz zespołu.</w:t>
            </w:r>
          </w:p>
          <w:p w14:paraId="001C6244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uruchomienia roli klienta i serwera czasu (NTP).</w:t>
            </w:r>
          </w:p>
          <w:p w14:paraId="5BF27436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uruchomienia roli serwera plików z uwierzytelnieniem i autoryzacją dostępu w domenie Microsoft Active Directory.</w:t>
            </w:r>
          </w:p>
          <w:p w14:paraId="7F612D95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uruchomienia roli serwera wydruku z uwierzytelnieniem i autoryzacją dostępu w domenie Microsoft Active Directory.</w:t>
            </w:r>
          </w:p>
          <w:p w14:paraId="4E1E9FEB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uruchomienia roli serwera stron WWW.</w:t>
            </w:r>
          </w:p>
          <w:p w14:paraId="07E9DEB4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 xml:space="preserve">W ramach dostarczonej licencji zawarte prawo do użytkowania i dostęp do oprogramowania oferowanego przez producenta systemu operacyjnego umożliwiającego </w:t>
            </w:r>
            <w:proofErr w:type="spellStart"/>
            <w:r w:rsidRPr="00D13B95">
              <w:rPr>
                <w:spacing w:val="20"/>
              </w:rPr>
              <w:t>wirtualizowanie</w:t>
            </w:r>
            <w:proofErr w:type="spellEnd"/>
            <w:r w:rsidRPr="00D13B95">
              <w:rPr>
                <w:spacing w:val="20"/>
              </w:rPr>
              <w:t xml:space="preserve"> zasobów sprzętowych serwera.</w:t>
            </w:r>
          </w:p>
          <w:p w14:paraId="32115B2F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 ramach dostarczonej licencji zawarte prawo do pobierania poprawek systemu operacyjnego.</w:t>
            </w:r>
          </w:p>
          <w:p w14:paraId="5EE3F1F7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Wszystkie wymienione parametry, role, funkcje, itp. systemu operacyjnego objęte są dostarczoną licencją (licencjami) i zawarte w dostarczonej wersji oprogramowania (nie wymagają ponoszenia przez Zamawiającego dodatkowych kosztów).</w:t>
            </w:r>
          </w:p>
          <w:p w14:paraId="69C66D0A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Automatyczna weryfikacja cyfrowych sygnatur sterowników w celu sprawdzenia czy sterownik przeszedł testy jakości przeprowadzone przez producenta systemu operacyjnego.</w:t>
            </w:r>
          </w:p>
          <w:p w14:paraId="7C521071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dynamicznego obniżania poboru energii przez rdzenie procesorów niewykorzystywane w bieżącej pracy.</w:t>
            </w:r>
          </w:p>
          <w:p w14:paraId="734DA9E5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Wbudowane wsparcie instalacji i pracy na wolumenach, które:</w:t>
            </w:r>
          </w:p>
          <w:p w14:paraId="057BB74C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pozwalają na zmianę rozmiaru w czasie pracy systemu,</w:t>
            </w:r>
          </w:p>
          <w:p w14:paraId="763390E2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umożliwiają tworzenie w czasie pracy systemu migawek, dających użytkownikom końcowym (lokalnym i sieciowym) prosty wgląd w poprzednie wersje plików i folderów,</w:t>
            </w:r>
          </w:p>
          <w:p w14:paraId="334A29BC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lastRenderedPageBreak/>
              <w:t>umożliwiają kompresję "w locie" dla wybranych plików i/lub folderów,</w:t>
            </w:r>
          </w:p>
          <w:p w14:paraId="3F2FE00C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umożliwiają zdefiniowanie list kontroli dostępu (ACL).</w:t>
            </w:r>
          </w:p>
          <w:p w14:paraId="2AB30287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Wbudowany mechanizm klasyfikowania i indeksowania plików (dokumentów) w oparciu o ich zawartość</w:t>
            </w:r>
          </w:p>
          <w:p w14:paraId="3074CA8A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0B8ACD47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uruchamiania aplikacji internetowych wykorzystujących technologię ASP.NET</w:t>
            </w:r>
          </w:p>
          <w:p w14:paraId="66F1D8A9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dystrybucji ruchu sieciowego HTTP pomiędzy kilka serwerów.</w:t>
            </w:r>
          </w:p>
          <w:p w14:paraId="6711AA40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wykorzystania standardu http/2.</w:t>
            </w:r>
          </w:p>
          <w:p w14:paraId="2BBD57CE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Wbudowana zapora internetowa (firewall) z obsługą definiowanych reguł dla ochrony połączeń internetowych i intranetowych.</w:t>
            </w:r>
          </w:p>
          <w:p w14:paraId="19DE4BA9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Zlokalizowane w języku polskim, co najmniej następujące elementy: menu, przeglądarka internetowa, pomoc, komunikaty systemowe.</w:t>
            </w:r>
          </w:p>
          <w:p w14:paraId="0009535D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zmiany języka interfejsu po zainstalowaniu systemu, dla co najmniej 10 języków poprzez wybór z listy dostępnych lokalizacji.</w:t>
            </w:r>
          </w:p>
          <w:p w14:paraId="00CFB669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Mechanizmy logowania w oparciu o: a) login i hasło,</w:t>
            </w:r>
          </w:p>
          <w:p w14:paraId="3B958049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karty z certyfikatami (</w:t>
            </w:r>
            <w:proofErr w:type="spellStart"/>
            <w:r w:rsidRPr="00D13B95">
              <w:rPr>
                <w:spacing w:val="20"/>
              </w:rPr>
              <w:t>smartcard</w:t>
            </w:r>
            <w:proofErr w:type="spellEnd"/>
            <w:r w:rsidRPr="00D13B95">
              <w:rPr>
                <w:spacing w:val="20"/>
              </w:rPr>
              <w:t>),</w:t>
            </w:r>
          </w:p>
          <w:p w14:paraId="7167431B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wirtualne karty (logowanie w oparciu o certyfikat chroniony poprzez moduł TPM).</w:t>
            </w:r>
          </w:p>
          <w:p w14:paraId="21865BE5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wymuszania wieloelementowej dynamicznej kontroli dostępu dla:</w:t>
            </w:r>
          </w:p>
          <w:p w14:paraId="3A80280C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określonych grup użytkowników,</w:t>
            </w:r>
          </w:p>
          <w:p w14:paraId="618D359D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zastosowanej klasyfikacji danych,</w:t>
            </w:r>
          </w:p>
          <w:p w14:paraId="014EBF66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centralnych polityk dostępu w sieci,</w:t>
            </w:r>
          </w:p>
          <w:p w14:paraId="45116D18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centralnych polityk audytowych oraz narzuconych dla grup użytkowników praw do wykorzystywania szyfrowanych danych.</w:t>
            </w:r>
          </w:p>
          <w:p w14:paraId="4892FEAC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lastRenderedPageBreak/>
              <w:t xml:space="preserve">Wsparcie dla większości powszechnie używanych urządzeń peryferyjnych (drukarek, urządzeń sieciowych, standardów USB, </w:t>
            </w:r>
            <w:proofErr w:type="spellStart"/>
            <w:r w:rsidRPr="00D13B95">
              <w:rPr>
                <w:spacing w:val="20"/>
              </w:rPr>
              <w:t>Plug&amp;Play</w:t>
            </w:r>
            <w:proofErr w:type="spellEnd"/>
            <w:r w:rsidRPr="00D13B95">
              <w:rPr>
                <w:spacing w:val="20"/>
              </w:rPr>
              <w:t>).</w:t>
            </w:r>
          </w:p>
          <w:p w14:paraId="4A40E054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zdalnej konfiguracji, administrowania oraz aktualizowania systemu.</w:t>
            </w:r>
          </w:p>
          <w:p w14:paraId="35EADA2C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Dostępność bezpłatnych narzędzi producenta systemu umożliwiających badanie i wdrażanie zdefiniowanego zestawu polityk bezpieczeństwa.</w:t>
            </w:r>
          </w:p>
          <w:p w14:paraId="0DC093CB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Dostępny, pochodzący od producenta systemu serwis zarządzania polityką dostępu do informacji</w:t>
            </w:r>
            <w:r w:rsidRPr="00D13B95">
              <w:rPr>
                <w:spacing w:val="20"/>
              </w:rPr>
              <w:br/>
              <w:t xml:space="preserve">w dokumentach (Digital </w:t>
            </w:r>
            <w:proofErr w:type="spellStart"/>
            <w:r w:rsidRPr="00D13B95">
              <w:rPr>
                <w:spacing w:val="20"/>
              </w:rPr>
              <w:t>Rights</w:t>
            </w:r>
            <w:proofErr w:type="spellEnd"/>
            <w:r w:rsidRPr="00D13B95">
              <w:rPr>
                <w:spacing w:val="20"/>
              </w:rPr>
              <w:t xml:space="preserve"> Management).</w:t>
            </w:r>
          </w:p>
          <w:p w14:paraId="2FF28300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Wsparcie dla środowisk Java i .NET Framework 4.x i wyższych – możliwość uruchomienia aplikacji działających we wskazanych środowiskach.</w:t>
            </w:r>
          </w:p>
          <w:p w14:paraId="05986FF2" w14:textId="77777777" w:rsidR="00D13B95" w:rsidRPr="00D13B95" w:rsidRDefault="00D13B95" w:rsidP="00D13B95">
            <w:pPr>
              <w:widowControl w:val="0"/>
              <w:numPr>
                <w:ilvl w:val="0"/>
                <w:numId w:val="11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</w:rPr>
            </w:pPr>
            <w:r w:rsidRPr="00D13B95">
              <w:rPr>
                <w:spacing w:val="20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440B3B54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podstawowe usługi sieciowe: DHCP oraz DNS wspierający DNSSEC.</w:t>
            </w:r>
          </w:p>
          <w:p w14:paraId="7DEFE9FE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77F0A55D" w14:textId="77777777" w:rsidR="00D13B95" w:rsidRPr="00D13B95" w:rsidRDefault="00D13B95" w:rsidP="00D13B95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podłączenie do domeny w trybie offline – bez dostępnego połączenia sieciowego z domeną,</w:t>
            </w:r>
          </w:p>
          <w:p w14:paraId="6604D6CC" w14:textId="77777777" w:rsidR="00D13B95" w:rsidRPr="00D13B95" w:rsidRDefault="00D13B95" w:rsidP="00D13B95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ustanawianie praw dostępu do zasobów domeny na bazie sposobu logowania użytkownika – na przykład typu certyfikatu użytego do logowania,</w:t>
            </w:r>
          </w:p>
          <w:p w14:paraId="62B12D3E" w14:textId="77777777" w:rsidR="00D13B95" w:rsidRPr="00D13B95" w:rsidRDefault="00D13B95" w:rsidP="00D13B95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lastRenderedPageBreak/>
              <w:t>odzyskiwanie przypadkowo skasowanych obiektów usługi katalogowej z mechanizmu kosza,</w:t>
            </w:r>
          </w:p>
          <w:p w14:paraId="42219B42" w14:textId="77777777" w:rsidR="00D13B95" w:rsidRPr="00D13B95" w:rsidRDefault="00D13B95" w:rsidP="00D13B95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bezpieczny mechanizm dołączania do domeny uprawnionych użytkowników prywatnych urządzeń mobilnych opartych o iOS i Windows 8.1.,</w:t>
            </w:r>
          </w:p>
          <w:p w14:paraId="1E4E16DC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zdalna dystrybucja oprogramowania na stacje robocze,</w:t>
            </w:r>
          </w:p>
          <w:p w14:paraId="34CFAE45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praca zdalna na serwerze z wykorzystaniem terminala (cienkiego klienta) lub odpowiednio skonfigurowanej stacji roboczej z możliwością dostępu minimum 65 tys. Użytkowników,</w:t>
            </w:r>
          </w:p>
          <w:p w14:paraId="1E5D5753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Centrum Certyfikatów (CA), obsługa klucza publicznego i prywatnego) umożliwiające:</w:t>
            </w:r>
          </w:p>
          <w:p w14:paraId="7DEBBED9" w14:textId="77777777" w:rsidR="00D13B95" w:rsidRPr="00D13B95" w:rsidRDefault="00D13B95" w:rsidP="00D13B95">
            <w:pPr>
              <w:widowControl w:val="0"/>
              <w:numPr>
                <w:ilvl w:val="3"/>
                <w:numId w:val="13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Dystrybucję certyfikatów poprzez http,</w:t>
            </w:r>
          </w:p>
          <w:p w14:paraId="580597C5" w14:textId="77777777" w:rsidR="00D13B95" w:rsidRPr="00D13B95" w:rsidRDefault="00D13B95" w:rsidP="00D13B95">
            <w:pPr>
              <w:widowControl w:val="0"/>
              <w:numPr>
                <w:ilvl w:val="3"/>
                <w:numId w:val="13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Konsolidację CA dla wielu lasów domeny,</w:t>
            </w:r>
          </w:p>
          <w:p w14:paraId="699C5407" w14:textId="77777777" w:rsidR="00D13B95" w:rsidRPr="00D13B95" w:rsidRDefault="00D13B95" w:rsidP="00D13B95">
            <w:pPr>
              <w:widowControl w:val="0"/>
              <w:numPr>
                <w:ilvl w:val="3"/>
                <w:numId w:val="13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Automatyczne rejestrowania certyfikatów pomiędzy różnymi lasami domen,</w:t>
            </w:r>
          </w:p>
          <w:p w14:paraId="2D508D3A" w14:textId="77777777" w:rsidR="00D13B95" w:rsidRPr="00D13B95" w:rsidRDefault="00D13B95" w:rsidP="00D13B95">
            <w:pPr>
              <w:widowControl w:val="0"/>
              <w:numPr>
                <w:ilvl w:val="3"/>
                <w:numId w:val="13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Automatyczne występowanie i używanie (wystawianie) certyfikatów PKI X.509.</w:t>
            </w:r>
          </w:p>
          <w:p w14:paraId="0646A724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szyfrowanie plików i folderów,</w:t>
            </w:r>
          </w:p>
          <w:p w14:paraId="5F86C4FA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szyfrowanie połączeń sieciowych pomiędzy serwerami oraz serwerami i stacjami roboczymi (</w:t>
            </w:r>
            <w:proofErr w:type="spellStart"/>
            <w:r w:rsidRPr="00D13B95">
              <w:rPr>
                <w:spacing w:val="20"/>
              </w:rPr>
              <w:t>IPSec</w:t>
            </w:r>
            <w:proofErr w:type="spellEnd"/>
            <w:r w:rsidRPr="00D13B95">
              <w:rPr>
                <w:spacing w:val="20"/>
              </w:rPr>
              <w:t>),</w:t>
            </w:r>
          </w:p>
          <w:p w14:paraId="503F8DCD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szyfrowanie sieci wirtualnych pomiędzy maszynami wirtualnymi,</w:t>
            </w:r>
          </w:p>
          <w:p w14:paraId="312FC94A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możliwość tworzenia systemów wysokiej dostępności (klastry typu </w:t>
            </w:r>
            <w:proofErr w:type="spellStart"/>
            <w:r w:rsidRPr="00D13B95">
              <w:rPr>
                <w:spacing w:val="20"/>
              </w:rPr>
              <w:t>fail-over</w:t>
            </w:r>
            <w:proofErr w:type="spellEnd"/>
            <w:r w:rsidRPr="00D13B95">
              <w:rPr>
                <w:spacing w:val="20"/>
              </w:rPr>
              <w:t>) oraz rozłożenia obciążenia serwerów,</w:t>
            </w:r>
          </w:p>
          <w:p w14:paraId="1149F13B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serwis udostępniania stron WWW,</w:t>
            </w:r>
          </w:p>
          <w:p w14:paraId="5CB813A3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wsparcie dla protokołu IP w wersji 6 (IPv6),</w:t>
            </w:r>
          </w:p>
          <w:p w14:paraId="1CD63EB1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wbudowane usługi VPN pozwalające na zestawienie nielimitowanej liczby równoczesnych połączeń i niewymagające instalacji </w:t>
            </w:r>
            <w:r w:rsidRPr="00D13B95">
              <w:rPr>
                <w:spacing w:val="20"/>
              </w:rPr>
              <w:lastRenderedPageBreak/>
              <w:t>dodatkowego oprogramowania na komputerach z systemem Windows,</w:t>
            </w:r>
          </w:p>
          <w:p w14:paraId="622FC40C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wbudowane mechanizmy wirtualizacji (</w:t>
            </w:r>
            <w:proofErr w:type="spellStart"/>
            <w:r w:rsidRPr="00D13B95">
              <w:rPr>
                <w:spacing w:val="20"/>
              </w:rPr>
              <w:t>Hypervisor</w:t>
            </w:r>
            <w:proofErr w:type="spellEnd"/>
            <w:r w:rsidRPr="00D13B95">
              <w:rPr>
                <w:spacing w:val="20"/>
              </w:rPr>
              <w:t>) pozwalające na uruchamianie uruchomienie nieograniczonej liczby aktywnych środowisk wirtualnych systemów operacyjnych (liczba ograniczona parametrami fizycznymi serwera),</w:t>
            </w:r>
          </w:p>
          <w:p w14:paraId="5D80DF97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migracji maszyn wirtualnych między fizycznymi serwerami z uruchomionym mechanizmem wirtualizacji (</w:t>
            </w:r>
            <w:proofErr w:type="spellStart"/>
            <w:r w:rsidRPr="00D13B95">
              <w:rPr>
                <w:spacing w:val="20"/>
              </w:rPr>
              <w:t>hypervisor</w:t>
            </w:r>
            <w:proofErr w:type="spellEnd"/>
            <w:r w:rsidRPr="00D13B95">
              <w:rPr>
                <w:spacing w:val="20"/>
              </w:rPr>
              <w:t>) przez sieć Ethernet, bez konieczności stosowania dodatkowych mechanizmów współdzielenia pamięci.</w:t>
            </w:r>
          </w:p>
          <w:p w14:paraId="340E9EE4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możliwość przenoszenia maszyn wirtualnych pomiędzy serwerami klastra typu </w:t>
            </w:r>
            <w:proofErr w:type="spellStart"/>
            <w:r w:rsidRPr="00D13B95">
              <w:rPr>
                <w:spacing w:val="20"/>
              </w:rPr>
              <w:t>failover</w:t>
            </w:r>
            <w:proofErr w:type="spellEnd"/>
            <w:r w:rsidRPr="00D13B95">
              <w:rPr>
                <w:spacing w:val="20"/>
              </w:rPr>
              <w:br/>
              <w:t>z jednoczesnym zachowaniem pozostałej funkcjonalności.</w:t>
            </w:r>
          </w:p>
          <w:p w14:paraId="2FF24E0C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mechanizmy wirtualizacji mające wsparcie dla:</w:t>
            </w:r>
          </w:p>
          <w:p w14:paraId="7DA8E531" w14:textId="77777777" w:rsidR="00D13B95" w:rsidRPr="00D13B95" w:rsidRDefault="00D13B95" w:rsidP="00D13B95">
            <w:pPr>
              <w:widowControl w:val="0"/>
              <w:numPr>
                <w:ilvl w:val="3"/>
                <w:numId w:val="14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dynamicznego podłączania zasobów dyskowych typu hot-plug do maszyn wirtualnych,</w:t>
            </w:r>
          </w:p>
          <w:p w14:paraId="536D89E7" w14:textId="77777777" w:rsidR="00D13B95" w:rsidRPr="00D13B95" w:rsidRDefault="00D13B95" w:rsidP="00D13B95">
            <w:pPr>
              <w:widowControl w:val="0"/>
              <w:numPr>
                <w:ilvl w:val="3"/>
                <w:numId w:val="14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obsługi ramek typu jumbo </w:t>
            </w:r>
            <w:proofErr w:type="spellStart"/>
            <w:r w:rsidRPr="00D13B95">
              <w:rPr>
                <w:spacing w:val="20"/>
              </w:rPr>
              <w:t>frames</w:t>
            </w:r>
            <w:proofErr w:type="spellEnd"/>
            <w:r w:rsidRPr="00D13B95">
              <w:rPr>
                <w:spacing w:val="20"/>
              </w:rPr>
              <w:t xml:space="preserve"> dla maszyn wirtualnych.</w:t>
            </w:r>
          </w:p>
          <w:p w14:paraId="2C503B8F" w14:textId="77777777" w:rsidR="00D13B95" w:rsidRPr="00D13B95" w:rsidRDefault="00D13B95" w:rsidP="00D13B95">
            <w:pPr>
              <w:widowControl w:val="0"/>
              <w:numPr>
                <w:ilvl w:val="3"/>
                <w:numId w:val="14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obsługi 4-KB sektorów dysków,</w:t>
            </w:r>
          </w:p>
          <w:p w14:paraId="1D09B238" w14:textId="77777777" w:rsidR="00D13B95" w:rsidRPr="00D13B95" w:rsidRDefault="00D13B95" w:rsidP="00D13B95">
            <w:pPr>
              <w:widowControl w:val="0"/>
              <w:numPr>
                <w:ilvl w:val="3"/>
                <w:numId w:val="14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nielimitowanej liczby jednocześnie przenoszonych maszyn wirtualnych pomiędzy węzłami klastra,</w:t>
            </w:r>
          </w:p>
          <w:p w14:paraId="1806DCF2" w14:textId="77777777" w:rsidR="00D13B95" w:rsidRPr="00D13B95" w:rsidRDefault="00D13B95" w:rsidP="00D13B95">
            <w:pPr>
              <w:widowControl w:val="0"/>
              <w:numPr>
                <w:ilvl w:val="3"/>
                <w:numId w:val="14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tworzenia wirtualnych maszyn chronionych, separowanych od środowiska systemu operacyjnego.</w:t>
            </w:r>
          </w:p>
          <w:p w14:paraId="5A56F825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uruchamiania kontenerów bazujących na Windows i Linux na tym samym hoście kontenerów.</w:t>
            </w:r>
          </w:p>
          <w:p w14:paraId="557A812D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wsparcie dla rozwiązania </w:t>
            </w:r>
            <w:proofErr w:type="spellStart"/>
            <w:r w:rsidRPr="00D13B95">
              <w:rPr>
                <w:spacing w:val="20"/>
              </w:rPr>
              <w:t>Kubernetes</w:t>
            </w:r>
            <w:proofErr w:type="spellEnd"/>
            <w:r w:rsidRPr="00D13B95">
              <w:rPr>
                <w:spacing w:val="20"/>
              </w:rPr>
              <w:t>.</w:t>
            </w:r>
          </w:p>
          <w:p w14:paraId="57BA7E1A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automatycznej aktualizacji w oparciu o poprawki publikowane przez producenta wraz</w:t>
            </w:r>
            <w:r w:rsidRPr="00D13B95">
              <w:rPr>
                <w:spacing w:val="20"/>
              </w:rPr>
              <w:br/>
              <w:t xml:space="preserve">z dostępnością bezpłatnego </w:t>
            </w:r>
            <w:r w:rsidRPr="00D13B95">
              <w:rPr>
                <w:spacing w:val="20"/>
              </w:rPr>
              <w:lastRenderedPageBreak/>
              <w:t>rozwiązania producenta serwerowego systemu operacyjnego umożliwiającego lokalną dystrybucję poprawek zatwierdzonych przez administratora, bez połączenia z siecią Internet.</w:t>
            </w:r>
          </w:p>
          <w:p w14:paraId="288494B9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wsparcie dostępu do zasobu dyskowego poprzez wiele ścieżek (</w:t>
            </w:r>
            <w:proofErr w:type="spellStart"/>
            <w:r w:rsidRPr="00D13B95">
              <w:rPr>
                <w:spacing w:val="20"/>
              </w:rPr>
              <w:t>Multipath</w:t>
            </w:r>
            <w:proofErr w:type="spellEnd"/>
            <w:r w:rsidRPr="00D13B95">
              <w:rPr>
                <w:spacing w:val="20"/>
              </w:rPr>
              <w:t>).</w:t>
            </w:r>
          </w:p>
          <w:p w14:paraId="014A388E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mechanizmy </w:t>
            </w:r>
            <w:proofErr w:type="spellStart"/>
            <w:r w:rsidRPr="00D13B95">
              <w:rPr>
                <w:spacing w:val="20"/>
              </w:rPr>
              <w:t>deduplikacji</w:t>
            </w:r>
            <w:proofErr w:type="spellEnd"/>
            <w:r w:rsidRPr="00D13B95">
              <w:rPr>
                <w:spacing w:val="20"/>
              </w:rPr>
              <w:t xml:space="preserve"> i kompresji na wolumenach.</w:t>
            </w:r>
          </w:p>
          <w:p w14:paraId="17684DAB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mechanizmy zdalnej administracji oraz mechanizmy (również działające zdalnie) administracji przez skrypty.</w:t>
            </w:r>
          </w:p>
          <w:p w14:paraId="177867CD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 xml:space="preserve">mechanizm konfiguracji połączenia VPN do platformy </w:t>
            </w:r>
            <w:proofErr w:type="spellStart"/>
            <w:r w:rsidRPr="00D13B95">
              <w:rPr>
                <w:spacing w:val="20"/>
              </w:rPr>
              <w:t>Azure</w:t>
            </w:r>
            <w:proofErr w:type="spellEnd"/>
            <w:r w:rsidRPr="00D13B95">
              <w:rPr>
                <w:spacing w:val="20"/>
              </w:rPr>
              <w:t>.</w:t>
            </w:r>
          </w:p>
          <w:p w14:paraId="0132D7D0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wbudowany mechanizm wykrywania ataków na poziomie pamięci RAM i jądra systemu.</w:t>
            </w:r>
          </w:p>
          <w:p w14:paraId="168E0877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mechanizmy pozwalające na blokadę dostępu nieznanych procesów do chronionych katalogów.</w:t>
            </w:r>
          </w:p>
          <w:p w14:paraId="61E77A69" w14:textId="77777777" w:rsidR="00D13B95" w:rsidRPr="00D13B95" w:rsidRDefault="00D13B95" w:rsidP="00D13B95">
            <w:pPr>
              <w:widowControl w:val="0"/>
              <w:numPr>
                <w:ilvl w:val="1"/>
                <w:numId w:val="11"/>
              </w:numPr>
              <w:tabs>
                <w:tab w:val="left" w:pos="745"/>
              </w:tabs>
              <w:spacing w:line="276" w:lineRule="auto"/>
              <w:ind w:right="580"/>
              <w:rPr>
                <w:spacing w:val="20"/>
              </w:rPr>
            </w:pPr>
            <w:r w:rsidRPr="00D13B95">
              <w:rPr>
                <w:spacing w:val="20"/>
              </w:rPr>
              <w:t>możliwość instalacji i poprawnej pracy Systemu Bazodanowego (Microsoft SQL )Server Standard).</w:t>
            </w:r>
          </w:p>
          <w:p w14:paraId="084FEC2F" w14:textId="77777777" w:rsidR="00D13B95" w:rsidRPr="00D13B95" w:rsidRDefault="00D13B95" w:rsidP="00D13B95">
            <w:pPr>
              <w:spacing w:line="276" w:lineRule="auto"/>
              <w:rPr>
                <w:bCs/>
                <w:spacing w:val="20"/>
              </w:rPr>
            </w:pPr>
          </w:p>
        </w:tc>
        <w:tc>
          <w:tcPr>
            <w:tcW w:w="1059" w:type="pct"/>
          </w:tcPr>
          <w:p w14:paraId="7D2478F9" w14:textId="77777777" w:rsidR="00D13B95" w:rsidRPr="00D13B95" w:rsidRDefault="00D13B95" w:rsidP="00D13B95">
            <w:pPr>
              <w:spacing w:line="276" w:lineRule="auto"/>
              <w:rPr>
                <w:bCs/>
                <w:spacing w:val="20"/>
              </w:rPr>
            </w:pPr>
          </w:p>
        </w:tc>
      </w:tr>
      <w:tr w:rsidR="00D13B95" w:rsidRPr="00D13B95" w14:paraId="4CECBE79" w14:textId="77777777" w:rsidTr="00D13B95">
        <w:trPr>
          <w:trHeight w:val="390"/>
        </w:trPr>
        <w:tc>
          <w:tcPr>
            <w:tcW w:w="1112" w:type="pct"/>
          </w:tcPr>
          <w:p w14:paraId="2A5F2EF4" w14:textId="77777777" w:rsidR="00D13B95" w:rsidRPr="00D13B95" w:rsidRDefault="00D13B95" w:rsidP="00D13B95">
            <w:pPr>
              <w:spacing w:line="276" w:lineRule="auto"/>
              <w:rPr>
                <w:spacing w:val="20"/>
              </w:rPr>
            </w:pPr>
            <w:r w:rsidRPr="00D13B95">
              <w:rPr>
                <w:spacing w:val="20"/>
              </w:rPr>
              <w:lastRenderedPageBreak/>
              <w:t xml:space="preserve">Zapewniający pełną kompatybilność z istniejąca infrastrukturą Zamawiającego, a w szczególności z posiadanym oprogramowaniem  </w:t>
            </w:r>
          </w:p>
          <w:p w14:paraId="2099140B" w14:textId="77777777" w:rsidR="00D13B95" w:rsidRPr="00D13B95" w:rsidRDefault="00D13B95" w:rsidP="00D13B95">
            <w:pPr>
              <w:spacing w:line="276" w:lineRule="auto"/>
              <w:rPr>
                <w:spacing w:val="20"/>
              </w:rPr>
            </w:pPr>
            <w:r w:rsidRPr="00D13B95">
              <w:rPr>
                <w:spacing w:val="20"/>
              </w:rPr>
              <w:t xml:space="preserve"> -praca jako stacje końcowe PC</w:t>
            </w:r>
          </w:p>
          <w:p w14:paraId="2BA2B5D3" w14:textId="77777777" w:rsidR="00D13B95" w:rsidRPr="00D13B95" w:rsidRDefault="00D13B95" w:rsidP="00D13B95">
            <w:pPr>
              <w:spacing w:line="276" w:lineRule="auto"/>
              <w:rPr>
                <w:b/>
                <w:spacing w:val="20"/>
              </w:rPr>
            </w:pPr>
          </w:p>
        </w:tc>
        <w:tc>
          <w:tcPr>
            <w:tcW w:w="2830" w:type="pct"/>
          </w:tcPr>
          <w:p w14:paraId="1C26329A" w14:textId="77777777" w:rsidR="00D13B95" w:rsidRPr="00D13B95" w:rsidRDefault="00D13B95" w:rsidP="00D13B95">
            <w:pPr>
              <w:spacing w:line="276" w:lineRule="auto"/>
              <w:rPr>
                <w:spacing w:val="20"/>
              </w:rPr>
            </w:pPr>
            <w:r w:rsidRPr="00D13B95">
              <w:rPr>
                <w:spacing w:val="20"/>
              </w:rPr>
              <w:t xml:space="preserve">w pełni kompatybilny z posiadanym oprogramowaniem Zamawiającego, pozwalający uruchamiać poniższe oprogramowanie bezpośrednio z  poziomu systemu operacyjnego, bez dodatkowego oprogramowania (emulatora) lub warstwy </w:t>
            </w:r>
            <w:proofErr w:type="spellStart"/>
            <w:r w:rsidRPr="00D13B95">
              <w:rPr>
                <w:spacing w:val="20"/>
              </w:rPr>
              <w:t>wirtualizacyjnej</w:t>
            </w:r>
            <w:proofErr w:type="spellEnd"/>
            <w:r w:rsidRPr="00D13B95">
              <w:rPr>
                <w:spacing w:val="20"/>
              </w:rPr>
              <w:t xml:space="preserve"> :</w:t>
            </w:r>
          </w:p>
          <w:p w14:paraId="006FF459" w14:textId="77777777" w:rsidR="00D13B95" w:rsidRPr="00D13B95" w:rsidRDefault="00D13B95" w:rsidP="00D13B95">
            <w:pPr>
              <w:spacing w:line="276" w:lineRule="auto"/>
              <w:rPr>
                <w:spacing w:val="20"/>
              </w:rPr>
            </w:pPr>
            <w:r w:rsidRPr="00D13B95">
              <w:rPr>
                <w:b/>
                <w:spacing w:val="20"/>
              </w:rPr>
              <w:t>Do każdego poniższego oprogramowania wymagane oświadczenie producenta</w:t>
            </w:r>
            <w:r w:rsidRPr="00D13B95">
              <w:rPr>
                <w:spacing w:val="20"/>
              </w:rPr>
              <w:t xml:space="preserve"> oprogramowania o zgodności z proponowanym systemem operacyjnym (</w:t>
            </w:r>
            <w:r w:rsidRPr="00D13B95">
              <w:rPr>
                <w:spacing w:val="20"/>
                <w:highlight w:val="yellow"/>
              </w:rPr>
              <w:t>oświadczenie należy</w:t>
            </w:r>
            <w:r w:rsidRPr="00D13B95">
              <w:rPr>
                <w:spacing w:val="20"/>
              </w:rPr>
              <w:t xml:space="preserve"> </w:t>
            </w:r>
            <w:r w:rsidRPr="00D13B95">
              <w:rPr>
                <w:bCs/>
                <w:spacing w:val="20"/>
                <w:highlight w:val="yellow"/>
              </w:rPr>
              <w:t>dostarczyć Zamawiającemu</w:t>
            </w:r>
            <w:r w:rsidRPr="00D13B95">
              <w:rPr>
                <w:bCs/>
                <w:spacing w:val="20"/>
              </w:rPr>
              <w:t xml:space="preserve"> </w:t>
            </w:r>
            <w:r w:rsidRPr="00D13B95">
              <w:rPr>
                <w:bCs/>
                <w:spacing w:val="20"/>
                <w:highlight w:val="yellow"/>
              </w:rPr>
              <w:t>wraz ze sprzętem komputerowym</w:t>
            </w:r>
            <w:r w:rsidRPr="00D13B95">
              <w:rPr>
                <w:bCs/>
                <w:spacing w:val="20"/>
              </w:rPr>
              <w:t>)</w:t>
            </w:r>
            <w:r w:rsidRPr="00D13B95">
              <w:rPr>
                <w:spacing w:val="20"/>
              </w:rPr>
              <w:t>.</w:t>
            </w:r>
          </w:p>
          <w:p w14:paraId="61FDA8DC" w14:textId="77777777" w:rsidR="00D13B95" w:rsidRPr="00D13B95" w:rsidRDefault="00D13B95" w:rsidP="00D13B95">
            <w:pPr>
              <w:pStyle w:val="Akapitzlist"/>
              <w:numPr>
                <w:ilvl w:val="0"/>
                <w:numId w:val="10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D13B95">
              <w:rPr>
                <w:rFonts w:ascii="Arial" w:hAnsi="Arial" w:cs="Arial"/>
                <w:spacing w:val="20"/>
              </w:rPr>
              <w:t xml:space="preserve">system finansowo-księgowy ZSI SIGID (https://sigid.pl/) </w:t>
            </w:r>
          </w:p>
          <w:p w14:paraId="5B43F868" w14:textId="77777777" w:rsidR="00D13B95" w:rsidRPr="00D13B95" w:rsidRDefault="00D13B95" w:rsidP="00D13B95">
            <w:pPr>
              <w:pStyle w:val="Akapitzlist"/>
              <w:numPr>
                <w:ilvl w:val="0"/>
                <w:numId w:val="10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D13B95">
              <w:rPr>
                <w:rFonts w:ascii="Arial" w:hAnsi="Arial" w:cs="Arial"/>
                <w:spacing w:val="20"/>
              </w:rPr>
              <w:t xml:space="preserve"> system sprawozdawczości </w:t>
            </w:r>
            <w:proofErr w:type="spellStart"/>
            <w:r w:rsidRPr="00D13B95">
              <w:rPr>
                <w:rFonts w:ascii="Arial" w:hAnsi="Arial" w:cs="Arial"/>
                <w:spacing w:val="20"/>
              </w:rPr>
              <w:t>Besti</w:t>
            </w:r>
            <w:proofErr w:type="spellEnd"/>
            <w:r w:rsidRPr="00D13B95">
              <w:rPr>
                <w:rFonts w:ascii="Arial" w:hAnsi="Arial" w:cs="Arial"/>
                <w:spacing w:val="20"/>
              </w:rPr>
              <w:t>@ (</w:t>
            </w:r>
            <w:hyperlink r:id="rId10" w:history="1">
              <w:r w:rsidRPr="00D13B95">
                <w:rPr>
                  <w:rStyle w:val="Hipercze"/>
                  <w:rFonts w:ascii="Arial" w:eastAsia="Arial" w:hAnsi="Arial" w:cs="Arial"/>
                  <w:spacing w:val="20"/>
                </w:rPr>
                <w:t>https://budzetjst.pl/</w:t>
              </w:r>
            </w:hyperlink>
            <w:r w:rsidRPr="00D13B95">
              <w:rPr>
                <w:rFonts w:ascii="Arial" w:hAnsi="Arial" w:cs="Arial"/>
                <w:spacing w:val="20"/>
              </w:rPr>
              <w:t>)</w:t>
            </w:r>
          </w:p>
          <w:p w14:paraId="599D9615" w14:textId="77777777" w:rsidR="00D13B95" w:rsidRPr="00D13B95" w:rsidRDefault="00D13B95" w:rsidP="00D13B95">
            <w:pPr>
              <w:pStyle w:val="Akapitzlist"/>
              <w:numPr>
                <w:ilvl w:val="0"/>
                <w:numId w:val="10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D13B95">
              <w:rPr>
                <w:rFonts w:ascii="Arial" w:hAnsi="Arial" w:cs="Arial"/>
                <w:spacing w:val="20"/>
              </w:rPr>
              <w:t xml:space="preserve">Rejestr Zaangażowania Środków </w:t>
            </w:r>
            <w:proofErr w:type="spellStart"/>
            <w:r w:rsidRPr="00D13B95">
              <w:rPr>
                <w:rFonts w:ascii="Arial" w:hAnsi="Arial" w:cs="Arial"/>
                <w:spacing w:val="20"/>
              </w:rPr>
              <w:t>Budżetowych-Doskomp</w:t>
            </w:r>
            <w:proofErr w:type="spellEnd"/>
            <w:r w:rsidRPr="00D13B95">
              <w:rPr>
                <w:rFonts w:ascii="Arial" w:hAnsi="Arial" w:cs="Arial"/>
                <w:spacing w:val="20"/>
              </w:rPr>
              <w:t xml:space="preserve"> (https://portal.jst.pl/)</w:t>
            </w:r>
          </w:p>
          <w:p w14:paraId="0D93777A" w14:textId="77777777" w:rsidR="00D13B95" w:rsidRPr="00D13B95" w:rsidRDefault="00D13B95" w:rsidP="00D13B95">
            <w:pPr>
              <w:pStyle w:val="Akapitzlist"/>
              <w:numPr>
                <w:ilvl w:val="0"/>
                <w:numId w:val="10"/>
              </w:numPr>
              <w:spacing w:line="276" w:lineRule="auto"/>
              <w:jc w:val="left"/>
              <w:rPr>
                <w:rFonts w:ascii="Arial" w:hAnsi="Arial" w:cs="Arial"/>
                <w:spacing w:val="20"/>
                <w:lang w:val="en-US"/>
              </w:rPr>
            </w:pPr>
            <w:r w:rsidRPr="00D13B95">
              <w:rPr>
                <w:rFonts w:ascii="Arial" w:hAnsi="Arial" w:cs="Arial"/>
                <w:spacing w:val="20"/>
                <w:lang w:val="en-US"/>
              </w:rPr>
              <w:lastRenderedPageBreak/>
              <w:t>Legislator (</w:t>
            </w:r>
            <w:hyperlink r:id="rId11" w:history="1">
              <w:r w:rsidRPr="00D13B95">
                <w:rPr>
                  <w:rStyle w:val="Hipercze"/>
                  <w:rFonts w:ascii="Arial" w:hAnsi="Arial" w:cs="Arial"/>
                  <w:spacing w:val="20"/>
                  <w:lang w:val="en-US"/>
                </w:rPr>
                <w:t>https://www.abcpro.pl/eap-legislator</w:t>
              </w:r>
            </w:hyperlink>
            <w:r w:rsidRPr="00D13B95">
              <w:rPr>
                <w:rFonts w:ascii="Arial" w:hAnsi="Arial" w:cs="Arial"/>
                <w:spacing w:val="20"/>
                <w:lang w:val="en-US"/>
              </w:rPr>
              <w:t>)</w:t>
            </w:r>
          </w:p>
          <w:p w14:paraId="6D5B409C" w14:textId="77777777" w:rsidR="00D13B95" w:rsidRPr="00D13B95" w:rsidRDefault="00D13B95" w:rsidP="00D13B95">
            <w:pPr>
              <w:pStyle w:val="Akapitzlist"/>
              <w:numPr>
                <w:ilvl w:val="0"/>
                <w:numId w:val="10"/>
              </w:numPr>
              <w:spacing w:line="276" w:lineRule="auto"/>
              <w:jc w:val="left"/>
              <w:rPr>
                <w:rFonts w:ascii="Arial" w:hAnsi="Arial" w:cs="Arial"/>
                <w:spacing w:val="20"/>
                <w:lang w:val="en-US"/>
              </w:rPr>
            </w:pPr>
            <w:proofErr w:type="spellStart"/>
            <w:r w:rsidRPr="00D13B95">
              <w:rPr>
                <w:rFonts w:ascii="Arial" w:hAnsi="Arial" w:cs="Arial"/>
                <w:spacing w:val="20"/>
                <w:lang w:val="en-US"/>
              </w:rPr>
              <w:t>Axence</w:t>
            </w:r>
            <w:proofErr w:type="spellEnd"/>
            <w:r w:rsidRPr="00D13B95">
              <w:rPr>
                <w:rFonts w:ascii="Arial" w:hAnsi="Arial" w:cs="Arial"/>
                <w:spacing w:val="20"/>
                <w:lang w:val="en-US"/>
              </w:rPr>
              <w:t xml:space="preserve"> </w:t>
            </w:r>
            <w:proofErr w:type="spellStart"/>
            <w:r w:rsidRPr="00D13B95">
              <w:rPr>
                <w:rFonts w:ascii="Arial" w:hAnsi="Arial" w:cs="Arial"/>
                <w:spacing w:val="20"/>
                <w:lang w:val="en-US"/>
              </w:rPr>
              <w:t>nVision</w:t>
            </w:r>
            <w:proofErr w:type="spellEnd"/>
          </w:p>
          <w:p w14:paraId="60CA90D6" w14:textId="77777777" w:rsidR="00D13B95" w:rsidRPr="00D13B95" w:rsidRDefault="00D13B95" w:rsidP="00D13B95">
            <w:pPr>
              <w:pStyle w:val="Akapitzlist"/>
              <w:numPr>
                <w:ilvl w:val="0"/>
                <w:numId w:val="10"/>
              </w:numPr>
              <w:spacing w:line="276" w:lineRule="auto"/>
              <w:jc w:val="left"/>
              <w:rPr>
                <w:rFonts w:ascii="Arial" w:hAnsi="Arial" w:cs="Arial"/>
                <w:spacing w:val="20"/>
                <w:lang w:val="en-US"/>
              </w:rPr>
            </w:pPr>
            <w:proofErr w:type="spellStart"/>
            <w:r w:rsidRPr="00D13B95">
              <w:rPr>
                <w:rFonts w:ascii="Arial" w:hAnsi="Arial" w:cs="Arial"/>
                <w:spacing w:val="20"/>
                <w:lang w:val="en-US"/>
              </w:rPr>
              <w:t>Eset</w:t>
            </w:r>
            <w:proofErr w:type="spellEnd"/>
            <w:r w:rsidRPr="00D13B95">
              <w:rPr>
                <w:rFonts w:ascii="Arial" w:hAnsi="Arial" w:cs="Arial"/>
                <w:spacing w:val="20"/>
                <w:lang w:val="en-US"/>
              </w:rPr>
              <w:t xml:space="preserve"> XDR </w:t>
            </w:r>
          </w:p>
          <w:p w14:paraId="56235ECC" w14:textId="77777777" w:rsidR="00D13B95" w:rsidRPr="00D13B95" w:rsidRDefault="00D13B95" w:rsidP="00D13B95">
            <w:pPr>
              <w:pStyle w:val="Akapitzlist"/>
              <w:spacing w:line="276" w:lineRule="auto"/>
              <w:jc w:val="left"/>
              <w:rPr>
                <w:rFonts w:ascii="Arial" w:hAnsi="Arial" w:cs="Arial"/>
                <w:spacing w:val="20"/>
                <w:lang w:val="en-US"/>
              </w:rPr>
            </w:pPr>
          </w:p>
        </w:tc>
        <w:tc>
          <w:tcPr>
            <w:tcW w:w="1059" w:type="pct"/>
          </w:tcPr>
          <w:p w14:paraId="25F89805" w14:textId="77777777" w:rsidR="00D13B95" w:rsidRPr="00D13B95" w:rsidRDefault="00D13B95" w:rsidP="00D13B95">
            <w:pPr>
              <w:spacing w:line="276" w:lineRule="auto"/>
              <w:rPr>
                <w:bCs/>
                <w:spacing w:val="20"/>
                <w:lang w:val="en-US"/>
              </w:rPr>
            </w:pPr>
          </w:p>
        </w:tc>
      </w:tr>
    </w:tbl>
    <w:p w14:paraId="31540CD0" w14:textId="77777777" w:rsidR="00D13B95" w:rsidRPr="00D13B95" w:rsidRDefault="00D13B95" w:rsidP="00D13B95">
      <w:pPr>
        <w:spacing w:line="276" w:lineRule="auto"/>
        <w:rPr>
          <w:spacing w:val="20"/>
          <w:lang w:val="en-US"/>
        </w:rPr>
      </w:pPr>
    </w:p>
    <w:p w14:paraId="007C4DC6" w14:textId="77777777" w:rsidR="00D13B95" w:rsidRDefault="00D13B95">
      <w:pPr>
        <w:rPr>
          <w:b/>
          <w:color w:val="000000" w:themeColor="text1"/>
          <w:spacing w:val="20"/>
          <w:sz w:val="24"/>
          <w:szCs w:val="24"/>
        </w:rPr>
      </w:pPr>
    </w:p>
    <w:p w14:paraId="3BC05FF9" w14:textId="77777777" w:rsidR="00D13B95" w:rsidRDefault="00D13B95">
      <w:pPr>
        <w:rPr>
          <w:b/>
          <w:color w:val="000000" w:themeColor="text1"/>
          <w:spacing w:val="20"/>
          <w:sz w:val="24"/>
          <w:szCs w:val="24"/>
        </w:rPr>
      </w:pPr>
    </w:p>
    <w:p w14:paraId="5E2EB264" w14:textId="77777777" w:rsidR="00D13B95" w:rsidRDefault="00D13B95">
      <w:pPr>
        <w:rPr>
          <w:b/>
          <w:color w:val="000000" w:themeColor="text1"/>
          <w:spacing w:val="20"/>
          <w:sz w:val="24"/>
          <w:szCs w:val="24"/>
        </w:rPr>
      </w:pPr>
    </w:p>
    <w:p w14:paraId="407E90F4" w14:textId="77777777" w:rsidR="00D13B95" w:rsidRPr="00FD4928" w:rsidRDefault="00D13B95" w:rsidP="00D13B95">
      <w:pPr>
        <w:spacing w:before="120"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</w:pPr>
      <w:r w:rsidRPr="00FD4928">
        <w:rPr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Pr="00FD4928">
        <w:rPr>
          <w:spacing w:val="20"/>
          <w:sz w:val="24"/>
          <w:szCs w:val="24"/>
        </w:rPr>
        <w:t xml:space="preserve">Zamawiający zaleca przed podpisaniem, zapisanie dokumentu </w:t>
      </w:r>
      <w:r w:rsidRPr="00FD4928">
        <w:rPr>
          <w:spacing w:val="20"/>
          <w:sz w:val="24"/>
          <w:szCs w:val="24"/>
        </w:rPr>
        <w:br/>
        <w:t>w formacie .pdf</w:t>
      </w:r>
    </w:p>
    <w:p w14:paraId="528BA653" w14:textId="77777777" w:rsidR="00D13B95" w:rsidRPr="002C7622" w:rsidRDefault="00D13B95">
      <w:pPr>
        <w:rPr>
          <w:b/>
          <w:color w:val="000000" w:themeColor="text1"/>
          <w:spacing w:val="20"/>
          <w:sz w:val="24"/>
          <w:szCs w:val="24"/>
        </w:rPr>
      </w:pPr>
    </w:p>
    <w:sectPr w:rsidR="00D13B95" w:rsidRPr="002C7622" w:rsidSect="000C3D2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1A39F" w14:textId="77777777" w:rsidR="00070C82" w:rsidRDefault="00070C82" w:rsidP="0087695F">
      <w:pPr>
        <w:spacing w:after="0" w:line="240" w:lineRule="auto"/>
      </w:pPr>
      <w:r>
        <w:separator/>
      </w:r>
    </w:p>
  </w:endnote>
  <w:endnote w:type="continuationSeparator" w:id="0">
    <w:p w14:paraId="35DD6588" w14:textId="77777777" w:rsidR="00070C82" w:rsidRDefault="00070C82" w:rsidP="0087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1BA52" w14:textId="77777777" w:rsidR="00070C82" w:rsidRDefault="00070C82" w:rsidP="0087695F">
      <w:pPr>
        <w:spacing w:after="0" w:line="240" w:lineRule="auto"/>
      </w:pPr>
      <w:r>
        <w:separator/>
      </w:r>
    </w:p>
  </w:footnote>
  <w:footnote w:type="continuationSeparator" w:id="0">
    <w:p w14:paraId="01FC77F7" w14:textId="77777777" w:rsidR="00070C82" w:rsidRDefault="00070C82" w:rsidP="00876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032B4" w14:textId="77777777" w:rsidR="0087695F" w:rsidRPr="0087695F" w:rsidRDefault="0087695F">
    <w:pPr>
      <w:pStyle w:val="Nagwek"/>
      <w:rPr>
        <w:spacing w:val="20"/>
        <w:sz w:val="24"/>
        <w:szCs w:val="24"/>
      </w:rPr>
    </w:pPr>
    <w:r w:rsidRPr="0087695F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F16C2"/>
    <w:multiLevelType w:val="hybridMultilevel"/>
    <w:tmpl w:val="601C9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13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22"/>
    <w:rsid w:val="00065188"/>
    <w:rsid w:val="00070C82"/>
    <w:rsid w:val="000C3D20"/>
    <w:rsid w:val="00121D49"/>
    <w:rsid w:val="00143E90"/>
    <w:rsid w:val="00144252"/>
    <w:rsid w:val="001F74D1"/>
    <w:rsid w:val="00236A81"/>
    <w:rsid w:val="002C7622"/>
    <w:rsid w:val="0030702A"/>
    <w:rsid w:val="00353369"/>
    <w:rsid w:val="00690A18"/>
    <w:rsid w:val="00695511"/>
    <w:rsid w:val="006E0F87"/>
    <w:rsid w:val="006F5C46"/>
    <w:rsid w:val="007650B9"/>
    <w:rsid w:val="007806E7"/>
    <w:rsid w:val="00832340"/>
    <w:rsid w:val="0087695F"/>
    <w:rsid w:val="00A400D4"/>
    <w:rsid w:val="00A436B2"/>
    <w:rsid w:val="00A65D39"/>
    <w:rsid w:val="00B634C9"/>
    <w:rsid w:val="00B96416"/>
    <w:rsid w:val="00C47F86"/>
    <w:rsid w:val="00CD6F73"/>
    <w:rsid w:val="00D119AF"/>
    <w:rsid w:val="00D13B95"/>
    <w:rsid w:val="00D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FA69"/>
  <w15:chartTrackingRefBased/>
  <w15:docId w15:val="{64C36255-B040-46D0-B962-AD23F3E8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7622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762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622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2C762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2C7622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C7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7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695F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87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695F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server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bcpro.pl/eap-legislato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udzetjst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eat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4364</Words>
  <Characters>26184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21</cp:revision>
  <dcterms:created xsi:type="dcterms:W3CDTF">2025-04-11T09:26:00Z</dcterms:created>
  <dcterms:modified xsi:type="dcterms:W3CDTF">2025-04-29T08:03:00Z</dcterms:modified>
</cp:coreProperties>
</file>