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4B" w:rsidRPr="005952E4" w:rsidRDefault="0004644B" w:rsidP="0004644B">
      <w:pPr>
        <w:pStyle w:val="Default"/>
        <w:jc w:val="right"/>
      </w:pPr>
      <w:r w:rsidRPr="005952E4">
        <w:t>Załącznik nr 1</w:t>
      </w:r>
    </w:p>
    <w:p w:rsidR="0004644B" w:rsidRPr="005952E4" w:rsidRDefault="0004644B" w:rsidP="005952E4">
      <w:pPr>
        <w:pStyle w:val="Default"/>
        <w:jc w:val="center"/>
        <w:rPr>
          <w:b/>
        </w:rPr>
      </w:pPr>
      <w:r w:rsidRPr="005952E4">
        <w:rPr>
          <w:b/>
        </w:rPr>
        <w:t>Szczegółowy opis przedmiotu zamówienia</w:t>
      </w:r>
    </w:p>
    <w:p w:rsidR="0004644B" w:rsidRPr="005952E4" w:rsidRDefault="0004644B" w:rsidP="0004644B">
      <w:pPr>
        <w:pStyle w:val="Default"/>
        <w:rPr>
          <w:color w:val="auto"/>
        </w:rPr>
      </w:pPr>
    </w:p>
    <w:p w:rsidR="0004644B" w:rsidRPr="005952E4" w:rsidRDefault="0004644B" w:rsidP="0004644B">
      <w:pPr>
        <w:pStyle w:val="Default"/>
        <w:rPr>
          <w:color w:val="auto"/>
        </w:rPr>
      </w:pPr>
      <w:r w:rsidRPr="005952E4">
        <w:rPr>
          <w:color w:val="auto"/>
        </w:rPr>
        <w:t xml:space="preserve">Zakres usług pielęgniarki w warunkach domowych dla osób obłożnie i przewlekle chorych będzie polegać na rozpoznawaniu warunków i potrzeb zdrowotnych pacjenta, rozpoznawaniu problemów pielęgnacyjnych pacjenta, planowaniu i sprawowaniu opieki pielęgnacyjnej nad pacjentem, samodzielnym udzielaniu w określonym zakresie świadczeń zapobiegawczych, diagnostycznych, leczniczych i rehabilitacyjnych oraz medycznych czynności ratunkowych; realizacji zleceń lekarskich w procesie diagnostyki, leczenia i rehabilitacji, orzekaniu o rodzaju i zakresie świadczeń opiekuńczo-pielęgnacyjnych, edukacji zdrowotnej i promocji zdrowia, tj. min.: </w:t>
      </w:r>
    </w:p>
    <w:p w:rsidR="0004644B" w:rsidRPr="005952E4" w:rsidRDefault="0004644B" w:rsidP="005952E4">
      <w:pPr>
        <w:pStyle w:val="Default"/>
        <w:numPr>
          <w:ilvl w:val="0"/>
          <w:numId w:val="3"/>
        </w:numPr>
        <w:spacing w:after="44"/>
        <w:rPr>
          <w:color w:val="auto"/>
        </w:rPr>
      </w:pPr>
      <w:r w:rsidRPr="005952E4">
        <w:rPr>
          <w:color w:val="auto"/>
        </w:rPr>
        <w:t xml:space="preserve">przeprowadzenie wywiadu </w:t>
      </w:r>
    </w:p>
    <w:p w:rsidR="0004644B" w:rsidRPr="005952E4" w:rsidRDefault="0004644B" w:rsidP="005952E4">
      <w:pPr>
        <w:pStyle w:val="Default"/>
        <w:numPr>
          <w:ilvl w:val="0"/>
          <w:numId w:val="3"/>
        </w:numPr>
        <w:spacing w:after="44"/>
        <w:rPr>
          <w:color w:val="auto"/>
        </w:rPr>
      </w:pPr>
      <w:r w:rsidRPr="005952E4">
        <w:rPr>
          <w:color w:val="auto"/>
        </w:rPr>
        <w:t xml:space="preserve">ocena stanu ogólnego pacjenta na podstawie badania fizykalnego </w:t>
      </w:r>
    </w:p>
    <w:p w:rsidR="0004644B" w:rsidRPr="005952E4" w:rsidRDefault="0004644B" w:rsidP="005952E4">
      <w:pPr>
        <w:pStyle w:val="Default"/>
        <w:numPr>
          <w:ilvl w:val="0"/>
          <w:numId w:val="3"/>
        </w:numPr>
        <w:spacing w:after="44"/>
        <w:rPr>
          <w:color w:val="auto"/>
        </w:rPr>
      </w:pPr>
      <w:r w:rsidRPr="005952E4">
        <w:rPr>
          <w:color w:val="auto"/>
        </w:rPr>
        <w:t xml:space="preserve">ocena stanu świadomości pacjenta wg przyjętej skali </w:t>
      </w:r>
    </w:p>
    <w:p w:rsidR="0004644B" w:rsidRPr="005952E4" w:rsidRDefault="0004644B" w:rsidP="005952E4">
      <w:pPr>
        <w:pStyle w:val="Default"/>
        <w:numPr>
          <w:ilvl w:val="0"/>
          <w:numId w:val="3"/>
        </w:numPr>
        <w:spacing w:after="44"/>
        <w:rPr>
          <w:color w:val="auto"/>
        </w:rPr>
      </w:pPr>
      <w:r w:rsidRPr="005952E4">
        <w:rPr>
          <w:color w:val="auto"/>
        </w:rPr>
        <w:t xml:space="preserve">ocena stanu psychicznego pacjenta wg przyjętej skali </w:t>
      </w:r>
    </w:p>
    <w:p w:rsidR="0004644B" w:rsidRPr="005952E4" w:rsidRDefault="0004644B" w:rsidP="005952E4">
      <w:pPr>
        <w:pStyle w:val="Default"/>
        <w:numPr>
          <w:ilvl w:val="0"/>
          <w:numId w:val="3"/>
        </w:numPr>
        <w:spacing w:after="44"/>
        <w:rPr>
          <w:color w:val="auto"/>
        </w:rPr>
      </w:pPr>
      <w:r w:rsidRPr="005952E4">
        <w:rPr>
          <w:color w:val="auto"/>
        </w:rPr>
        <w:t xml:space="preserve">ocena sprawności czynnościowej pacjenta wg przyjętej skali </w:t>
      </w:r>
    </w:p>
    <w:p w:rsidR="0004644B" w:rsidRPr="005952E4" w:rsidRDefault="0004644B" w:rsidP="005952E4">
      <w:pPr>
        <w:pStyle w:val="Default"/>
        <w:numPr>
          <w:ilvl w:val="0"/>
          <w:numId w:val="3"/>
        </w:numPr>
        <w:spacing w:after="44"/>
        <w:rPr>
          <w:color w:val="auto"/>
        </w:rPr>
      </w:pPr>
      <w:r w:rsidRPr="005952E4">
        <w:rPr>
          <w:color w:val="auto"/>
        </w:rPr>
        <w:t xml:space="preserve">kwalifikacja pacjenta do objęcia opieką </w:t>
      </w:r>
    </w:p>
    <w:p w:rsidR="0004644B" w:rsidRPr="005952E4" w:rsidRDefault="0004644B" w:rsidP="005952E4">
      <w:pPr>
        <w:pStyle w:val="Default"/>
        <w:numPr>
          <w:ilvl w:val="0"/>
          <w:numId w:val="3"/>
        </w:numPr>
        <w:spacing w:after="44"/>
        <w:rPr>
          <w:color w:val="auto"/>
        </w:rPr>
      </w:pPr>
      <w:r w:rsidRPr="005952E4">
        <w:rPr>
          <w:color w:val="auto"/>
        </w:rPr>
        <w:t xml:space="preserve">pomiar i ocena tętna </w:t>
      </w:r>
    </w:p>
    <w:p w:rsidR="0004644B" w:rsidRPr="005952E4" w:rsidRDefault="0004644B" w:rsidP="005952E4">
      <w:pPr>
        <w:pStyle w:val="Default"/>
        <w:numPr>
          <w:ilvl w:val="0"/>
          <w:numId w:val="3"/>
        </w:numPr>
        <w:spacing w:after="44"/>
        <w:rPr>
          <w:color w:val="auto"/>
        </w:rPr>
      </w:pPr>
      <w:r w:rsidRPr="005952E4">
        <w:rPr>
          <w:color w:val="auto"/>
        </w:rPr>
        <w:t xml:space="preserve">pomiar i ocena oddechu </w:t>
      </w:r>
    </w:p>
    <w:p w:rsidR="0004644B" w:rsidRPr="005952E4" w:rsidRDefault="0004644B" w:rsidP="005952E4">
      <w:pPr>
        <w:pStyle w:val="Default"/>
        <w:numPr>
          <w:ilvl w:val="0"/>
          <w:numId w:val="3"/>
        </w:numPr>
        <w:spacing w:after="44"/>
        <w:rPr>
          <w:color w:val="auto"/>
        </w:rPr>
      </w:pPr>
      <w:r w:rsidRPr="005952E4">
        <w:rPr>
          <w:color w:val="auto"/>
        </w:rPr>
        <w:t xml:space="preserve">pomiar i ocena ciśnienia tętniczego krwi </w:t>
      </w:r>
    </w:p>
    <w:p w:rsidR="0004644B" w:rsidRPr="005952E4" w:rsidRDefault="0004644B" w:rsidP="005952E4">
      <w:pPr>
        <w:pStyle w:val="Default"/>
        <w:numPr>
          <w:ilvl w:val="0"/>
          <w:numId w:val="3"/>
        </w:numPr>
        <w:spacing w:after="44"/>
        <w:rPr>
          <w:color w:val="auto"/>
        </w:rPr>
      </w:pPr>
      <w:r w:rsidRPr="005952E4">
        <w:rPr>
          <w:color w:val="auto"/>
        </w:rPr>
        <w:t xml:space="preserve">pomiar i ocena temperatury ciała </w:t>
      </w:r>
    </w:p>
    <w:p w:rsidR="0004644B" w:rsidRPr="005952E4" w:rsidRDefault="0004644B" w:rsidP="005952E4">
      <w:pPr>
        <w:pStyle w:val="Default"/>
        <w:numPr>
          <w:ilvl w:val="0"/>
          <w:numId w:val="3"/>
        </w:numPr>
        <w:spacing w:after="44"/>
        <w:rPr>
          <w:color w:val="auto"/>
        </w:rPr>
      </w:pPr>
      <w:r w:rsidRPr="005952E4">
        <w:rPr>
          <w:color w:val="auto"/>
        </w:rPr>
        <w:t xml:space="preserve">pomiar i ocena obrzęków </w:t>
      </w:r>
    </w:p>
    <w:p w:rsidR="0004644B" w:rsidRPr="005952E4" w:rsidRDefault="0004644B" w:rsidP="005952E4">
      <w:pPr>
        <w:pStyle w:val="Default"/>
        <w:numPr>
          <w:ilvl w:val="0"/>
          <w:numId w:val="3"/>
        </w:numPr>
        <w:spacing w:after="44"/>
        <w:rPr>
          <w:color w:val="auto"/>
        </w:rPr>
      </w:pPr>
      <w:r w:rsidRPr="005952E4">
        <w:rPr>
          <w:color w:val="auto"/>
        </w:rPr>
        <w:t xml:space="preserve">kontrola bilansu wodnego </w:t>
      </w:r>
    </w:p>
    <w:p w:rsidR="0004644B" w:rsidRPr="005952E4" w:rsidRDefault="0004644B" w:rsidP="005952E4">
      <w:pPr>
        <w:pStyle w:val="Default"/>
        <w:numPr>
          <w:ilvl w:val="0"/>
          <w:numId w:val="3"/>
        </w:numPr>
        <w:spacing w:after="44"/>
        <w:rPr>
          <w:color w:val="auto"/>
        </w:rPr>
      </w:pPr>
      <w:r w:rsidRPr="005952E4">
        <w:rPr>
          <w:color w:val="auto"/>
        </w:rPr>
        <w:t xml:space="preserve">kontrola dobowej zbiórki moczu </w:t>
      </w:r>
    </w:p>
    <w:p w:rsidR="0004644B" w:rsidRPr="005952E4" w:rsidRDefault="0004644B" w:rsidP="005952E4">
      <w:pPr>
        <w:pStyle w:val="Default"/>
        <w:numPr>
          <w:ilvl w:val="0"/>
          <w:numId w:val="3"/>
        </w:numPr>
        <w:spacing w:after="44"/>
        <w:rPr>
          <w:color w:val="auto"/>
        </w:rPr>
      </w:pPr>
      <w:r w:rsidRPr="005952E4">
        <w:rPr>
          <w:color w:val="auto"/>
        </w:rPr>
        <w:t xml:space="preserve">ocena nawodnienia organizmu </w:t>
      </w:r>
    </w:p>
    <w:p w:rsidR="0004644B" w:rsidRPr="005952E4" w:rsidRDefault="0004644B" w:rsidP="005952E4">
      <w:pPr>
        <w:pStyle w:val="Default"/>
        <w:numPr>
          <w:ilvl w:val="0"/>
          <w:numId w:val="3"/>
        </w:numPr>
        <w:spacing w:after="44"/>
        <w:rPr>
          <w:color w:val="auto"/>
        </w:rPr>
      </w:pPr>
      <w:r w:rsidRPr="005952E4">
        <w:rPr>
          <w:color w:val="auto"/>
        </w:rPr>
        <w:t xml:space="preserve">kontrola wypróżnień </w:t>
      </w:r>
    </w:p>
    <w:p w:rsidR="0004644B" w:rsidRPr="005952E4" w:rsidRDefault="0004644B" w:rsidP="005952E4">
      <w:pPr>
        <w:pStyle w:val="Default"/>
        <w:numPr>
          <w:ilvl w:val="0"/>
          <w:numId w:val="3"/>
        </w:numPr>
        <w:spacing w:after="44"/>
        <w:rPr>
          <w:color w:val="auto"/>
        </w:rPr>
      </w:pPr>
      <w:r w:rsidRPr="005952E4">
        <w:rPr>
          <w:color w:val="auto"/>
        </w:rPr>
        <w:t xml:space="preserve">ocena stanu skóry i powłok skórnych pacjenta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zapobiegania infekcjom i zakażeniom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żywienia wynikającego ze stanu zdrowia pacjenta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zapobiegania zaburzeniom </w:t>
      </w:r>
      <w:proofErr w:type="spellStart"/>
      <w:r w:rsidRPr="005952E4">
        <w:rPr>
          <w:color w:val="auto"/>
        </w:rPr>
        <w:t>wodno–elektrolitowym</w:t>
      </w:r>
      <w:proofErr w:type="spellEnd"/>
      <w:r w:rsidRPr="005952E4">
        <w:rPr>
          <w:color w:val="auto"/>
        </w:rPr>
        <w:t xml:space="preserve">,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zapobiegania stanom zapalnym skóry i błon śluzowych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zapobiegania powikłaniom zakrzepowym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zapobiegania powikłaniom wynikających z poszczególnych jednostek chorobowych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zapobiegania upadkom i urazom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zapewnienia odpowiednich warunków otoczenia pacjenta w domu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w:t>
      </w:r>
      <w:proofErr w:type="spellStart"/>
      <w:r w:rsidRPr="005952E4">
        <w:rPr>
          <w:color w:val="auto"/>
        </w:rPr>
        <w:t>samoopieki</w:t>
      </w:r>
      <w:proofErr w:type="spellEnd"/>
      <w:r w:rsidRPr="005952E4">
        <w:rPr>
          <w:color w:val="auto"/>
        </w:rPr>
        <w:t xml:space="preserve"> w życiu z chorobą i niepełnosprawnością w stosunku do człowieka chorego i jego rodziny (opiekuna)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trybu życia pacjenta i form aktywności życiowej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obserwacji niepokojących objawów, które muszą skłonić pacjenta do poinformowania lekarza i pielęgniarki </w:t>
      </w:r>
    </w:p>
    <w:p w:rsidR="0004644B" w:rsidRPr="005952E4" w:rsidRDefault="0004644B" w:rsidP="005952E4">
      <w:pPr>
        <w:pStyle w:val="Default"/>
        <w:numPr>
          <w:ilvl w:val="0"/>
          <w:numId w:val="3"/>
        </w:numPr>
        <w:spacing w:after="44"/>
        <w:rPr>
          <w:color w:val="auto"/>
        </w:rPr>
      </w:pPr>
      <w:r w:rsidRPr="005952E4">
        <w:rPr>
          <w:color w:val="auto"/>
        </w:rPr>
        <w:t xml:space="preserve">instruktaż pacjenta i jego opiekuna w zakresie użytkowania sprzętu pielęgnacyjnego/rehabilitacyjnego oraz wyrobów medycznych, </w:t>
      </w:r>
    </w:p>
    <w:p w:rsidR="0004644B" w:rsidRPr="005952E4" w:rsidRDefault="0004644B" w:rsidP="005952E4">
      <w:pPr>
        <w:pStyle w:val="Default"/>
        <w:numPr>
          <w:ilvl w:val="0"/>
          <w:numId w:val="3"/>
        </w:numPr>
        <w:rPr>
          <w:color w:val="auto"/>
        </w:rPr>
      </w:pPr>
      <w:r w:rsidRPr="005952E4">
        <w:rPr>
          <w:color w:val="auto"/>
        </w:rPr>
        <w:t xml:space="preserve">edukacja opiekunów w zakresie zasad udzielania pomocy pacjentowi </w:t>
      </w:r>
    </w:p>
    <w:p w:rsidR="0004644B" w:rsidRPr="005952E4" w:rsidRDefault="0004644B" w:rsidP="0004644B">
      <w:pPr>
        <w:pStyle w:val="Default"/>
        <w:rPr>
          <w:color w:val="auto"/>
        </w:rPr>
      </w:pPr>
    </w:p>
    <w:p w:rsidR="0004644B" w:rsidRPr="005952E4" w:rsidRDefault="0004644B" w:rsidP="0004644B">
      <w:pPr>
        <w:pStyle w:val="Default"/>
        <w:pageBreakBefore/>
        <w:rPr>
          <w:color w:val="auto"/>
        </w:rPr>
      </w:pPr>
    </w:p>
    <w:p w:rsidR="0004644B" w:rsidRPr="005952E4" w:rsidRDefault="0004644B" w:rsidP="005952E4">
      <w:pPr>
        <w:pStyle w:val="Default"/>
        <w:numPr>
          <w:ilvl w:val="0"/>
          <w:numId w:val="3"/>
        </w:numPr>
        <w:spacing w:after="44"/>
        <w:rPr>
          <w:color w:val="auto"/>
        </w:rPr>
      </w:pPr>
      <w:r w:rsidRPr="005952E4">
        <w:rPr>
          <w:color w:val="auto"/>
        </w:rPr>
        <w:t xml:space="preserve">edukacja w zakresie profilaktyki odleżyn, odparzeń i przykurczy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profilaktyki bólu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pielęgnacji: </w:t>
      </w:r>
      <w:proofErr w:type="spellStart"/>
      <w:r w:rsidRPr="005952E4">
        <w:rPr>
          <w:color w:val="auto"/>
        </w:rPr>
        <w:t>stomii</w:t>
      </w:r>
      <w:proofErr w:type="spellEnd"/>
      <w:r w:rsidRPr="005952E4">
        <w:rPr>
          <w:color w:val="auto"/>
        </w:rPr>
        <w:t xml:space="preserve">, rurki </w:t>
      </w:r>
      <w:proofErr w:type="spellStart"/>
      <w:r w:rsidRPr="005952E4">
        <w:rPr>
          <w:color w:val="auto"/>
        </w:rPr>
        <w:t>tracheostomijnej</w:t>
      </w:r>
      <w:proofErr w:type="spellEnd"/>
      <w:r w:rsidRPr="005952E4">
        <w:rPr>
          <w:color w:val="auto"/>
        </w:rPr>
        <w:t xml:space="preserve">, zgłębnika, cewnika moczowego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zapobiegania przykurczom, zniekształceniom i nadwichnięciom narządu ruchu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zapobiegania zaburzeniom mikcji i defekacji </w:t>
      </w:r>
    </w:p>
    <w:p w:rsidR="0004644B" w:rsidRPr="005952E4" w:rsidRDefault="0004644B" w:rsidP="005952E4">
      <w:pPr>
        <w:pStyle w:val="Default"/>
        <w:numPr>
          <w:ilvl w:val="0"/>
          <w:numId w:val="3"/>
        </w:numPr>
        <w:spacing w:after="44"/>
        <w:rPr>
          <w:color w:val="auto"/>
        </w:rPr>
      </w:pPr>
      <w:r w:rsidRPr="005952E4">
        <w:rPr>
          <w:color w:val="auto"/>
        </w:rPr>
        <w:t xml:space="preserve">edukacja w zakresie pielęgnacji: </w:t>
      </w:r>
      <w:proofErr w:type="spellStart"/>
      <w:r w:rsidRPr="005952E4">
        <w:rPr>
          <w:color w:val="auto"/>
        </w:rPr>
        <w:t>stomii</w:t>
      </w:r>
      <w:proofErr w:type="spellEnd"/>
      <w:r w:rsidRPr="005952E4">
        <w:rPr>
          <w:color w:val="auto"/>
        </w:rPr>
        <w:t xml:space="preserve">, rurki </w:t>
      </w:r>
      <w:proofErr w:type="spellStart"/>
      <w:r w:rsidRPr="005952E4">
        <w:rPr>
          <w:color w:val="auto"/>
        </w:rPr>
        <w:t>tracheostomijnej</w:t>
      </w:r>
      <w:proofErr w:type="spellEnd"/>
      <w:r w:rsidRPr="005952E4">
        <w:rPr>
          <w:color w:val="auto"/>
        </w:rPr>
        <w:t xml:space="preserve">, zgłębnika, cewnika moczowego </w:t>
      </w:r>
    </w:p>
    <w:p w:rsidR="0004644B" w:rsidRPr="005952E4" w:rsidRDefault="0004644B" w:rsidP="005952E4">
      <w:pPr>
        <w:pStyle w:val="Default"/>
        <w:numPr>
          <w:ilvl w:val="0"/>
          <w:numId w:val="3"/>
        </w:numPr>
        <w:spacing w:after="44"/>
        <w:rPr>
          <w:color w:val="auto"/>
        </w:rPr>
      </w:pPr>
      <w:r w:rsidRPr="005952E4">
        <w:rPr>
          <w:color w:val="auto"/>
        </w:rPr>
        <w:t xml:space="preserve">podawanie leków drogą iniekcji, w tym: 1. wykonanie iniekcji domięśniowej 2. wykonanie iniekcji podskórnej 3. wykonanie iniekcji śródskórnej 4. wykonanie iniekcji dożylnej 5. wykonanie kroplowego wlewu dożylnego </w:t>
      </w:r>
    </w:p>
    <w:p w:rsidR="0004644B" w:rsidRPr="005952E4" w:rsidRDefault="0004644B" w:rsidP="005952E4">
      <w:pPr>
        <w:pStyle w:val="Default"/>
        <w:numPr>
          <w:ilvl w:val="0"/>
          <w:numId w:val="3"/>
        </w:numPr>
        <w:spacing w:after="44"/>
        <w:rPr>
          <w:color w:val="auto"/>
        </w:rPr>
      </w:pPr>
      <w:r w:rsidRPr="005952E4">
        <w:rPr>
          <w:color w:val="auto"/>
        </w:rPr>
        <w:t xml:space="preserve">podawanie leków różnymi drogami bez przerwania ciągłości skóry, w tym: 1. podawanie leku doustnie 2. podanie leku do worka spojówkowego 3. podanie leku do nosa 4. podanie leku na skórę (maści, kremy, plastry) 5. podanie leku na błonę śluzową 6. podanie leku drogą wziewną 7. podanie leku dopochwowo 8. podanie leku doodbytniczo. </w:t>
      </w:r>
    </w:p>
    <w:p w:rsidR="0004644B" w:rsidRPr="005952E4" w:rsidRDefault="0004644B" w:rsidP="005952E4">
      <w:pPr>
        <w:pStyle w:val="Default"/>
        <w:numPr>
          <w:ilvl w:val="0"/>
          <w:numId w:val="3"/>
        </w:numPr>
        <w:spacing w:after="44"/>
        <w:rPr>
          <w:color w:val="auto"/>
        </w:rPr>
      </w:pPr>
      <w:r w:rsidRPr="005952E4">
        <w:rPr>
          <w:color w:val="auto"/>
        </w:rPr>
        <w:t xml:space="preserve">założenie kompresu, zmiana kompresu, założenie okładu, zmiana okładu </w:t>
      </w:r>
    </w:p>
    <w:p w:rsidR="0004644B" w:rsidRPr="005952E4" w:rsidRDefault="0004644B" w:rsidP="005952E4">
      <w:pPr>
        <w:pStyle w:val="Default"/>
        <w:numPr>
          <w:ilvl w:val="0"/>
          <w:numId w:val="3"/>
        </w:numPr>
        <w:spacing w:after="44"/>
        <w:rPr>
          <w:color w:val="auto"/>
        </w:rPr>
      </w:pPr>
      <w:r w:rsidRPr="005952E4">
        <w:rPr>
          <w:color w:val="auto"/>
        </w:rPr>
        <w:t xml:space="preserve">zmiany opatrunku </w:t>
      </w:r>
    </w:p>
    <w:p w:rsidR="0004644B" w:rsidRPr="005952E4" w:rsidRDefault="0004644B" w:rsidP="005952E4">
      <w:pPr>
        <w:pStyle w:val="Default"/>
        <w:numPr>
          <w:ilvl w:val="0"/>
          <w:numId w:val="3"/>
        </w:numPr>
        <w:spacing w:after="44"/>
        <w:rPr>
          <w:color w:val="auto"/>
        </w:rPr>
      </w:pPr>
      <w:r w:rsidRPr="005952E4">
        <w:rPr>
          <w:color w:val="auto"/>
        </w:rPr>
        <w:t xml:space="preserve">pielęgnacja skóry </w:t>
      </w:r>
    </w:p>
    <w:p w:rsidR="0004644B" w:rsidRPr="005952E4" w:rsidRDefault="0004644B" w:rsidP="005952E4">
      <w:pPr>
        <w:pStyle w:val="Default"/>
        <w:numPr>
          <w:ilvl w:val="0"/>
          <w:numId w:val="3"/>
        </w:numPr>
        <w:spacing w:after="44"/>
        <w:rPr>
          <w:color w:val="auto"/>
        </w:rPr>
      </w:pPr>
      <w:r w:rsidRPr="005952E4">
        <w:rPr>
          <w:color w:val="auto"/>
        </w:rPr>
        <w:t xml:space="preserve">pielęgnacja błon śluzowych </w:t>
      </w:r>
    </w:p>
    <w:p w:rsidR="0004644B" w:rsidRPr="005952E4" w:rsidRDefault="0004644B" w:rsidP="005952E4">
      <w:pPr>
        <w:pStyle w:val="Default"/>
        <w:numPr>
          <w:ilvl w:val="0"/>
          <w:numId w:val="3"/>
        </w:numPr>
        <w:spacing w:after="44"/>
        <w:rPr>
          <w:color w:val="auto"/>
        </w:rPr>
      </w:pPr>
      <w:r w:rsidRPr="005952E4">
        <w:rPr>
          <w:color w:val="auto"/>
        </w:rPr>
        <w:t xml:space="preserve">zaopatrzenie ran </w:t>
      </w:r>
    </w:p>
    <w:p w:rsidR="0004644B" w:rsidRPr="005952E4" w:rsidRDefault="0004644B" w:rsidP="005952E4">
      <w:pPr>
        <w:pStyle w:val="Default"/>
        <w:numPr>
          <w:ilvl w:val="0"/>
          <w:numId w:val="3"/>
        </w:numPr>
        <w:spacing w:after="44"/>
        <w:rPr>
          <w:color w:val="auto"/>
        </w:rPr>
      </w:pPr>
      <w:r w:rsidRPr="005952E4">
        <w:rPr>
          <w:color w:val="auto"/>
        </w:rPr>
        <w:t xml:space="preserve">pielęgnacja stopy cukrzycowej i ran przewlekłych, trudno gojących się </w:t>
      </w:r>
    </w:p>
    <w:p w:rsidR="0004644B" w:rsidRPr="005952E4" w:rsidRDefault="0004644B" w:rsidP="005952E4">
      <w:pPr>
        <w:pStyle w:val="Default"/>
        <w:numPr>
          <w:ilvl w:val="0"/>
          <w:numId w:val="3"/>
        </w:numPr>
        <w:spacing w:after="44"/>
        <w:rPr>
          <w:color w:val="auto"/>
        </w:rPr>
      </w:pPr>
      <w:r w:rsidRPr="005952E4">
        <w:rPr>
          <w:color w:val="auto"/>
        </w:rPr>
        <w:t xml:space="preserve">zaopatrzenie odparzeń </w:t>
      </w:r>
    </w:p>
    <w:p w:rsidR="0004644B" w:rsidRPr="005952E4" w:rsidRDefault="0004644B" w:rsidP="005952E4">
      <w:pPr>
        <w:pStyle w:val="Default"/>
        <w:numPr>
          <w:ilvl w:val="0"/>
          <w:numId w:val="3"/>
        </w:numPr>
        <w:spacing w:after="44"/>
        <w:rPr>
          <w:color w:val="auto"/>
        </w:rPr>
      </w:pPr>
      <w:r w:rsidRPr="005952E4">
        <w:rPr>
          <w:color w:val="auto"/>
        </w:rPr>
        <w:t xml:space="preserve">zaopatrzenie odleżyn </w:t>
      </w:r>
    </w:p>
    <w:p w:rsidR="0004644B" w:rsidRPr="005952E4" w:rsidRDefault="0004644B" w:rsidP="005952E4">
      <w:pPr>
        <w:pStyle w:val="Default"/>
        <w:numPr>
          <w:ilvl w:val="0"/>
          <w:numId w:val="3"/>
        </w:numPr>
        <w:rPr>
          <w:color w:val="auto"/>
        </w:rPr>
      </w:pPr>
      <w:r w:rsidRPr="005952E4">
        <w:rPr>
          <w:color w:val="auto"/>
        </w:rPr>
        <w:t xml:space="preserve">inne działania medyczne </w:t>
      </w:r>
    </w:p>
    <w:p w:rsidR="004258F5" w:rsidRPr="005952E4" w:rsidRDefault="004258F5">
      <w:pPr>
        <w:rPr>
          <w:rFonts w:ascii="Times New Roman" w:hAnsi="Times New Roman" w:cs="Times New Roman"/>
          <w:sz w:val="24"/>
          <w:szCs w:val="24"/>
        </w:rPr>
      </w:pPr>
    </w:p>
    <w:sectPr w:rsidR="004258F5" w:rsidRPr="005952E4" w:rsidSect="00346567">
      <w:headerReference w:type="default" r:id="rId7"/>
      <w:pgSz w:w="11906" w:h="17338"/>
      <w:pgMar w:top="1263" w:right="835" w:bottom="644" w:left="118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584" w:rsidRDefault="007C1584" w:rsidP="0004644B">
      <w:pPr>
        <w:spacing w:after="0" w:line="240" w:lineRule="auto"/>
      </w:pPr>
      <w:r>
        <w:separator/>
      </w:r>
    </w:p>
  </w:endnote>
  <w:endnote w:type="continuationSeparator" w:id="0">
    <w:p w:rsidR="007C1584" w:rsidRDefault="007C1584" w:rsidP="00046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584" w:rsidRDefault="007C1584" w:rsidP="0004644B">
      <w:pPr>
        <w:spacing w:after="0" w:line="240" w:lineRule="auto"/>
      </w:pPr>
      <w:r>
        <w:separator/>
      </w:r>
    </w:p>
  </w:footnote>
  <w:footnote w:type="continuationSeparator" w:id="0">
    <w:p w:rsidR="007C1584" w:rsidRDefault="007C1584" w:rsidP="000464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4B" w:rsidRDefault="0004644B" w:rsidP="0004644B">
    <w:pPr>
      <w:pStyle w:val="Nagwek"/>
    </w:pPr>
    <w:r>
      <w:rPr>
        <w:rFonts w:ascii="Times New Roman" w:eastAsia="Courier New" w:hAnsi="Times New Roman" w:cs="Times New Roman"/>
        <w:sz w:val="24"/>
        <w:szCs w:val="24"/>
      </w:rPr>
      <w:t xml:space="preserve">Nr referencyjny zamawiającego: ZP.26.30.2023                            </w:t>
    </w:r>
  </w:p>
  <w:p w:rsidR="0004644B" w:rsidRDefault="0004644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C33"/>
    <w:multiLevelType w:val="hybridMultilevel"/>
    <w:tmpl w:val="C596C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EF60C18"/>
    <w:multiLevelType w:val="hybridMultilevel"/>
    <w:tmpl w:val="3FBC63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EF2694"/>
    <w:multiLevelType w:val="hybridMultilevel"/>
    <w:tmpl w:val="540A6F42"/>
    <w:lvl w:ilvl="0" w:tplc="FC5AD05E">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4644B"/>
    <w:rsid w:val="0004644B"/>
    <w:rsid w:val="002D52CF"/>
    <w:rsid w:val="004258F5"/>
    <w:rsid w:val="00536F6D"/>
    <w:rsid w:val="005952E4"/>
    <w:rsid w:val="007C1584"/>
    <w:rsid w:val="00856846"/>
    <w:rsid w:val="00DE2200"/>
    <w:rsid w:val="00E4411D"/>
    <w:rsid w:val="00EA36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11D"/>
    <w:rPr>
      <w:rFonts w:ascii="Calibri" w:hAnsi="Calibri"/>
    </w:rPr>
  </w:style>
  <w:style w:type="paragraph" w:styleId="Nagwek1">
    <w:name w:val="heading 1"/>
    <w:basedOn w:val="Normalny"/>
    <w:next w:val="Normalny"/>
    <w:link w:val="Nagwek1Znak"/>
    <w:qFormat/>
    <w:rsid w:val="00E4411D"/>
    <w:pPr>
      <w:keepNext/>
      <w:suppressAutoHyphens/>
      <w:spacing w:after="0" w:line="240" w:lineRule="auto"/>
      <w:jc w:val="center"/>
      <w:outlineLvl w:val="0"/>
    </w:pPr>
    <w:rPr>
      <w:rFonts w:ascii="Times New Roman" w:eastAsia="Times New Roman" w:hAnsi="Times New Roman" w:cs="Times New Roman"/>
      <w:sz w:val="24"/>
      <w:szCs w:val="20"/>
      <w:lang w:eastAsia="ar-SA"/>
    </w:rPr>
  </w:style>
  <w:style w:type="paragraph" w:styleId="Nagwek2">
    <w:name w:val="heading 2"/>
    <w:basedOn w:val="Normalny"/>
    <w:next w:val="Normalny"/>
    <w:link w:val="Nagwek2Znak"/>
    <w:qFormat/>
    <w:rsid w:val="00E4411D"/>
    <w:pPr>
      <w:keepNext/>
      <w:suppressAutoHyphens/>
      <w:spacing w:after="0" w:line="240" w:lineRule="auto"/>
      <w:outlineLvl w:val="1"/>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uiPriority w:val="9"/>
    <w:semiHidden/>
    <w:unhideWhenUsed/>
    <w:qFormat/>
    <w:rsid w:val="00E44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411D"/>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E4411D"/>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uiPriority w:val="9"/>
    <w:semiHidden/>
    <w:rsid w:val="00E4411D"/>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E4411D"/>
    <w:pPr>
      <w:spacing w:after="0" w:line="240" w:lineRule="auto"/>
      <w:jc w:val="center"/>
    </w:pPr>
    <w:rPr>
      <w:rFonts w:ascii="Times New Roman" w:hAnsi="Times New Roman" w:cs="Times New Roman"/>
      <w:b/>
      <w:bCs/>
      <w:sz w:val="28"/>
      <w:szCs w:val="28"/>
    </w:rPr>
  </w:style>
  <w:style w:type="character" w:customStyle="1" w:styleId="TytuZnak">
    <w:name w:val="Tytuł Znak"/>
    <w:basedOn w:val="Domylnaczcionkaakapitu"/>
    <w:link w:val="Tytu"/>
    <w:uiPriority w:val="99"/>
    <w:rsid w:val="00E4411D"/>
    <w:rPr>
      <w:rFonts w:ascii="Times New Roman" w:eastAsia="Calibri" w:hAnsi="Times New Roman" w:cs="Times New Roman"/>
      <w:b/>
      <w:bCs/>
      <w:sz w:val="28"/>
      <w:szCs w:val="28"/>
    </w:rPr>
  </w:style>
  <w:style w:type="paragraph" w:styleId="NormalnyWeb">
    <w:name w:val="Normal (Web)"/>
    <w:basedOn w:val="Normalny"/>
    <w:uiPriority w:val="99"/>
    <w:unhideWhenUsed/>
    <w:qFormat/>
    <w:rsid w:val="00E4411D"/>
    <w:pPr>
      <w:spacing w:before="100" w:beforeAutospacing="1" w:after="119" w:line="240" w:lineRule="auto"/>
    </w:pPr>
    <w:rPr>
      <w:rFonts w:ascii="Times New Roman" w:eastAsia="Times New Roman" w:hAnsi="Times New Roman" w:cs="Times New Roman"/>
      <w:sz w:val="24"/>
      <w:szCs w:val="24"/>
      <w:lang w:eastAsia="pl-PL"/>
    </w:rPr>
  </w:style>
  <w:style w:type="paragraph" w:styleId="Bezodstpw">
    <w:name w:val="No Spacing"/>
    <w:qFormat/>
    <w:rsid w:val="00E4411D"/>
    <w:pPr>
      <w:spacing w:after="0" w:line="240" w:lineRule="auto"/>
    </w:pPr>
    <w:rPr>
      <w:rFonts w:ascii="Calibri" w:hAnsi="Calibri" w:cs="Times New Roman"/>
    </w:rPr>
  </w:style>
  <w:style w:type="paragraph" w:styleId="Akapitzlist">
    <w:name w:val="List Paragraph"/>
    <w:aliases w:val="maz_wyliczenie,opis dzialania,K-P_odwolanie,A_wyliczenie,Akapit z listą 1,L1,Numerowanie,2 heading,Akapit z listą5"/>
    <w:basedOn w:val="Normalny"/>
    <w:link w:val="AkapitzlistZnak"/>
    <w:qFormat/>
    <w:rsid w:val="00E4411D"/>
    <w:pPr>
      <w:spacing w:after="0" w:line="240" w:lineRule="auto"/>
      <w:ind w:left="720"/>
    </w:pPr>
    <w:rPr>
      <w:rFonts w:cs="Calibri"/>
      <w:lang w:eastAsia="pl-PL"/>
    </w:rPr>
  </w:style>
  <w:style w:type="character" w:customStyle="1" w:styleId="AkapitzlistZnak">
    <w:name w:val="Akapit z listą Znak"/>
    <w:aliases w:val="maz_wyliczenie Znak,opis dzialania Znak,K-P_odwolanie Znak,A_wyliczenie Znak,Akapit z listą 1 Znak,L1 Znak,Numerowanie Znak,2 heading Znak,Akapit z listą5 Znak"/>
    <w:basedOn w:val="Domylnaczcionkaakapitu"/>
    <w:link w:val="Akapitzlist"/>
    <w:qFormat/>
    <w:locked/>
    <w:rsid w:val="00E4411D"/>
    <w:rPr>
      <w:rFonts w:ascii="Calibri" w:eastAsia="Calibri" w:hAnsi="Calibri" w:cs="Calibri"/>
      <w:lang w:eastAsia="pl-PL"/>
    </w:rPr>
  </w:style>
  <w:style w:type="paragraph" w:customStyle="1" w:styleId="Standard">
    <w:name w:val="Standard"/>
    <w:qFormat/>
    <w:rsid w:val="00E4411D"/>
    <w:pPr>
      <w:suppressAutoHyphens/>
      <w:spacing w:after="0" w:line="240" w:lineRule="auto"/>
      <w:textAlignment w:val="baseline"/>
    </w:pPr>
    <w:rPr>
      <w:rFonts w:ascii="Liberation Serif;Times New Roma" w:eastAsia="NSimSun" w:hAnsi="Liberation Serif;Times New Roma" w:cs="Lucida Sans"/>
      <w:kern w:val="2"/>
      <w:sz w:val="24"/>
      <w:szCs w:val="24"/>
      <w:lang w:eastAsia="zh-CN" w:bidi="hi-IN"/>
    </w:rPr>
  </w:style>
  <w:style w:type="paragraph" w:customStyle="1" w:styleId="Default">
    <w:name w:val="Default"/>
    <w:rsid w:val="0004644B"/>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qFormat/>
    <w:rsid w:val="0004644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qFormat/>
    <w:rsid w:val="0004644B"/>
    <w:rPr>
      <w:rFonts w:ascii="Calibri" w:hAnsi="Calibri"/>
    </w:rPr>
  </w:style>
  <w:style w:type="paragraph" w:styleId="Stopka">
    <w:name w:val="footer"/>
    <w:basedOn w:val="Normalny"/>
    <w:link w:val="StopkaZnak"/>
    <w:uiPriority w:val="99"/>
    <w:semiHidden/>
    <w:unhideWhenUsed/>
    <w:rsid w:val="0004644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4644B"/>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3129</Characters>
  <Application>Microsoft Office Word</Application>
  <DocSecurity>0</DocSecurity>
  <Lines>26</Lines>
  <Paragraphs>7</Paragraphs>
  <ScaleCrop>false</ScaleCrop>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cp:revision>
  <dcterms:created xsi:type="dcterms:W3CDTF">2023-06-13T08:35:00Z</dcterms:created>
  <dcterms:modified xsi:type="dcterms:W3CDTF">2023-06-13T08:50:00Z</dcterms:modified>
</cp:coreProperties>
</file>