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9655" w14:textId="31E3BB05" w:rsidR="00800A11" w:rsidRPr="006F1880" w:rsidRDefault="006F1880" w:rsidP="006F18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880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Cz. II</w:t>
      </w:r>
    </w:p>
    <w:p w14:paraId="7F6D4F1E" w14:textId="77777777" w:rsidR="006F1880" w:rsidRPr="006F1880" w:rsidRDefault="006F1880">
      <w:pPr>
        <w:rPr>
          <w:rFonts w:ascii="Times New Roman" w:hAnsi="Times New Roman" w:cs="Times New Roman"/>
          <w:sz w:val="24"/>
          <w:szCs w:val="24"/>
        </w:rPr>
      </w:pPr>
    </w:p>
    <w:p w14:paraId="3B09FA28" w14:textId="00E9EA29" w:rsidR="006F1880" w:rsidRPr="00F16540" w:rsidRDefault="006F1880" w:rsidP="006F18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6540">
        <w:rPr>
          <w:rFonts w:ascii="Times New Roman" w:hAnsi="Times New Roman" w:cs="Times New Roman"/>
          <w:kern w:val="0"/>
          <w:sz w:val="24"/>
          <w:szCs w:val="24"/>
        </w:rPr>
        <w:t>Czy Zamawiający uzna warunek za spełniony, Jeżeli Wykonawca zaproponuje kocioł o wyższej mocy? Moc kotłów jest modulowana i kocioł może pracować w zakresie 30 - 100 % swojej mocy. Dopuszczając tylko kotły o mocy wskazanej w SWZ Zamawiający znacznie zawęża krąg potencjalnych Wykonawców przez co zmniejsza konkurencyjność ofert.</w:t>
      </w:r>
    </w:p>
    <w:p w14:paraId="42F923EA" w14:textId="6B404637" w:rsidR="006F1880" w:rsidRPr="00F16540" w:rsidRDefault="006F1880" w:rsidP="006F1880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540">
        <w:rPr>
          <w:rFonts w:ascii="Times New Roman" w:hAnsi="Times New Roman" w:cs="Times New Roman"/>
          <w:b/>
          <w:bCs/>
          <w:sz w:val="24"/>
          <w:szCs w:val="24"/>
        </w:rPr>
        <w:t>Odp. 2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 xml:space="preserve"> Zamawiający dopuszcza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>kotły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 xml:space="preserve"> o mocy nie większej jak 15% mocy określonej w 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 xml:space="preserve">projekcie, ponieważ 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 xml:space="preserve">zwiększenie mocy kotłów zwiększa koszty użytkownika. Proszę traktować rozwiązania projektowe jako całość ukierunkowaną na optymalizację przyszłych kosztów eksploatacyjnych. Przypominamy jednocześnie, że bezwzględnie należy przestrzegać wymogów określonych w specyfikacji i w projekcie dotyczących całości zawartych tam rozwiązań w odniesieniu do 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>kotłów,</w:t>
      </w:r>
      <w:r w:rsidR="00F16540" w:rsidRPr="00F16540">
        <w:rPr>
          <w:rFonts w:ascii="Times New Roman" w:hAnsi="Times New Roman" w:cs="Times New Roman"/>
          <w:b/>
          <w:bCs/>
          <w:sz w:val="24"/>
          <w:szCs w:val="24"/>
        </w:rPr>
        <w:t xml:space="preserve"> ale i do systemu podawania paliwa.</w:t>
      </w:r>
    </w:p>
    <w:sectPr w:rsidR="006F1880" w:rsidRPr="00F16540" w:rsidSect="006F1880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801B0"/>
    <w:multiLevelType w:val="hybridMultilevel"/>
    <w:tmpl w:val="CD302F5C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A2"/>
    <w:rsid w:val="001F265B"/>
    <w:rsid w:val="002F597B"/>
    <w:rsid w:val="003F52B5"/>
    <w:rsid w:val="006252DB"/>
    <w:rsid w:val="006F1880"/>
    <w:rsid w:val="00800A11"/>
    <w:rsid w:val="00AC45A2"/>
    <w:rsid w:val="00AC5FE0"/>
    <w:rsid w:val="00DC3409"/>
    <w:rsid w:val="00F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78BD"/>
  <w15:chartTrackingRefBased/>
  <w15:docId w15:val="{9284F651-942B-47A6-ADEC-C11A35D2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5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5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5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5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5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5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5A2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5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5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5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5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3</cp:revision>
  <dcterms:created xsi:type="dcterms:W3CDTF">2025-02-23T10:40:00Z</dcterms:created>
  <dcterms:modified xsi:type="dcterms:W3CDTF">2025-02-23T14:12:00Z</dcterms:modified>
</cp:coreProperties>
</file>