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94084B">
            <w:pPr>
              <w:pStyle w:val="Tekstpodstawowy"/>
              <w:ind w:right="6" w:hanging="142"/>
              <w:rPr>
                <w:rFonts w:ascii="Arial" w:hAnsi="Arial" w:cs="Arial"/>
                <w:b/>
                <w:sz w:val="20"/>
              </w:rPr>
            </w:pP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r w:rsidR="0061635C">
              <w:rPr>
                <w:rFonts w:ascii="Arial" w:hAnsi="Arial" w:cs="Arial"/>
                <w:b/>
                <w:sz w:val="20"/>
              </w:rPr>
              <w:t xml:space="preserve"> </w:t>
            </w:r>
            <w:r w:rsidR="00473119">
              <w:rPr>
                <w:rFonts w:ascii="Arial" w:hAnsi="Arial" w:cs="Arial"/>
                <w:b/>
                <w:sz w:val="20"/>
              </w:rPr>
              <w:t>k</w:t>
            </w:r>
            <w:r w:rsidR="00C93BFD" w:rsidRPr="00C93BFD">
              <w:rPr>
                <w:rFonts w:ascii="Arial" w:hAnsi="Arial" w:cs="Arial"/>
                <w:b/>
                <w:sz w:val="20"/>
              </w:rPr>
              <w:t>mdr</w:t>
            </w:r>
            <w:bookmarkStart w:id="0" w:name="_GoBack"/>
            <w:bookmarkEnd w:id="0"/>
            <w:r w:rsidR="00C93BFD" w:rsidRPr="00C93BFD">
              <w:rPr>
                <w:rFonts w:ascii="Arial" w:hAnsi="Arial" w:cs="Arial"/>
                <w:b/>
                <w:sz w:val="20"/>
              </w:rPr>
              <w:t xml:space="preserve"> </w:t>
            </w:r>
            <w:r w:rsidR="0094084B">
              <w:rPr>
                <w:rFonts w:ascii="Arial" w:hAnsi="Arial" w:cs="Arial"/>
                <w:b/>
                <w:sz w:val="20"/>
              </w:rPr>
              <w:t>Wojciech KRYSIAK</w:t>
            </w:r>
            <w:r w:rsidR="002A57B1">
              <w:rPr>
                <w:rFonts w:ascii="Arial" w:hAnsi="Arial" w:cs="Arial"/>
                <w:b/>
                <w:sz w:val="20"/>
              </w:rPr>
              <w:t xml:space="preserve"> </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BE4F58" w:rsidRDefault="0094084B" w:rsidP="00BE4F58">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E4F58" w:rsidRPr="00BE4F58" w:rsidRDefault="00BE4F58" w:rsidP="00BE4F58">
      <w:pPr>
        <w:spacing w:line="276" w:lineRule="auto"/>
        <w:jc w:val="both"/>
        <w:rPr>
          <w:rFonts w:ascii="Arial" w:hAnsi="Arial" w:cs="Arial"/>
          <w:sz w:val="20"/>
          <w:szCs w:val="20"/>
          <w:lang w:val="en-US"/>
        </w:rPr>
      </w:pPr>
      <w:proofErr w:type="spellStart"/>
      <w:r w:rsidRPr="00BE4F58">
        <w:rPr>
          <w:rFonts w:ascii="Arial" w:hAnsi="Arial" w:cs="Arial"/>
          <w:sz w:val="20"/>
          <w:szCs w:val="20"/>
          <w:lang w:val="en-US"/>
        </w:rPr>
        <w:t>Platforma</w:t>
      </w:r>
      <w:proofErr w:type="spellEnd"/>
      <w:r w:rsidRPr="00BE4F58">
        <w:rPr>
          <w:rFonts w:ascii="Arial" w:hAnsi="Arial" w:cs="Arial"/>
          <w:sz w:val="20"/>
          <w:szCs w:val="20"/>
          <w:lang w:val="en-US"/>
        </w:rPr>
        <w:t xml:space="preserve"> </w:t>
      </w:r>
      <w:proofErr w:type="spellStart"/>
      <w:r w:rsidRPr="00BE4F58">
        <w:rPr>
          <w:rFonts w:ascii="Arial" w:hAnsi="Arial" w:cs="Arial"/>
          <w:sz w:val="20"/>
          <w:szCs w:val="20"/>
          <w:lang w:val="en-US"/>
        </w:rPr>
        <w:t>zakupowa</w:t>
      </w:r>
      <w:proofErr w:type="spellEnd"/>
      <w:r w:rsidRPr="00BE4F58">
        <w:rPr>
          <w:rFonts w:ascii="Arial" w:hAnsi="Arial" w:cs="Arial"/>
          <w:sz w:val="20"/>
          <w:szCs w:val="20"/>
          <w:lang w:val="en-US"/>
        </w:rPr>
        <w:t>:</w:t>
      </w:r>
      <w:r w:rsidRPr="00BE4F58">
        <w:rPr>
          <w:rFonts w:ascii="Arial" w:hAnsi="Arial" w:cs="Arial"/>
          <w:sz w:val="20"/>
          <w:szCs w:val="20"/>
          <w:u w:val="single"/>
          <w:lang w:val="en-US"/>
        </w:rPr>
        <w:t xml:space="preserve"> </w:t>
      </w:r>
      <w:hyperlink r:id="rId11"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rsidR="00F2121B" w:rsidRPr="00BE4F58" w:rsidRDefault="00F2121B" w:rsidP="00F2121B">
      <w:pPr>
        <w:pStyle w:val="Tekstpodstawowy"/>
        <w:jc w:val="center"/>
        <w:rPr>
          <w:rFonts w:ascii="Arial" w:hAnsi="Arial" w:cs="Arial"/>
          <w:i/>
          <w:sz w:val="16"/>
          <w:szCs w:val="16"/>
          <w:highlight w:val="yellow"/>
        </w:rPr>
      </w:pPr>
    </w:p>
    <w:p w:rsidR="00145919" w:rsidRPr="00BE4F58" w:rsidRDefault="00D324A1" w:rsidP="005B1AC1">
      <w:pPr>
        <w:pStyle w:val="Tekstpodstawowy"/>
        <w:numPr>
          <w:ilvl w:val="0"/>
          <w:numId w:val="16"/>
        </w:numPr>
        <w:spacing w:line="360" w:lineRule="auto"/>
        <w:ind w:left="426" w:hanging="426"/>
        <w:jc w:val="left"/>
        <w:rPr>
          <w:rFonts w:ascii="Arial" w:hAnsi="Arial" w:cs="Arial"/>
          <w:b/>
          <w:bCs/>
          <w:sz w:val="20"/>
        </w:rPr>
      </w:pPr>
      <w:r w:rsidRPr="00BE4F58">
        <w:rPr>
          <w:rFonts w:ascii="Arial" w:hAnsi="Arial" w:cs="Arial"/>
          <w:b/>
          <w:bCs/>
          <w:sz w:val="20"/>
        </w:rPr>
        <w:t>Określenie przedmiotu zamówienia</w:t>
      </w:r>
    </w:p>
    <w:p w:rsidR="008A0667" w:rsidRPr="008A0667" w:rsidRDefault="008A0667" w:rsidP="008A0667">
      <w:pPr>
        <w:ind w:left="426"/>
        <w:jc w:val="both"/>
        <w:rPr>
          <w:rFonts w:ascii="Arial" w:hAnsi="Arial" w:cs="Arial"/>
          <w:b/>
          <w:sz w:val="20"/>
          <w:szCs w:val="20"/>
        </w:rPr>
      </w:pPr>
      <w:r w:rsidRPr="008A0667">
        <w:rPr>
          <w:rFonts w:ascii="Arial" w:hAnsi="Arial" w:cs="Arial"/>
          <w:b/>
          <w:sz w:val="20"/>
          <w:szCs w:val="20"/>
        </w:rPr>
        <w:t xml:space="preserve">Część  I: Przegląd roczny systemu nurkowego znajdującego się na wyposażeniu ORP PIAST, dzwonu nurkowego oraz komory dekompresyjnej </w:t>
      </w:r>
    </w:p>
    <w:p w:rsidR="00B93748" w:rsidRDefault="008A0667" w:rsidP="008A0667">
      <w:pPr>
        <w:ind w:left="426"/>
        <w:jc w:val="both"/>
        <w:rPr>
          <w:rFonts w:ascii="Arial" w:hAnsi="Arial" w:cs="Arial"/>
          <w:b/>
          <w:sz w:val="20"/>
          <w:szCs w:val="20"/>
        </w:rPr>
      </w:pPr>
      <w:r w:rsidRPr="008A0667">
        <w:rPr>
          <w:rFonts w:ascii="Arial" w:hAnsi="Arial" w:cs="Arial"/>
          <w:b/>
          <w:sz w:val="20"/>
          <w:szCs w:val="20"/>
        </w:rPr>
        <w:t>Część II: Przegląd roczny systemu nurkowego na okręcie  ORP „ZBYSZKO”, dzwonu nurkowego LARS P1805 oraz kontenera kierowania pracami podwodnymi.</w:t>
      </w:r>
    </w:p>
    <w:p w:rsidR="008A0667" w:rsidRDefault="008A0667" w:rsidP="008A0667">
      <w:pPr>
        <w:ind w:left="426"/>
        <w:jc w:val="both"/>
        <w:rPr>
          <w:rFonts w:ascii="Arial" w:hAnsi="Arial" w:cs="Arial"/>
          <w:b/>
          <w:sz w:val="20"/>
          <w:szCs w:val="20"/>
        </w:rPr>
      </w:pPr>
    </w:p>
    <w:p w:rsidR="000C101A" w:rsidRDefault="000C101A" w:rsidP="00B93748">
      <w:pPr>
        <w:ind w:left="426"/>
        <w:jc w:val="both"/>
        <w:rPr>
          <w:rFonts w:ascii="Arial" w:hAnsi="Arial" w:cs="Arial"/>
          <w:sz w:val="20"/>
          <w:szCs w:val="20"/>
        </w:rPr>
      </w:pPr>
      <w:r w:rsidRPr="00BE4F58">
        <w:rPr>
          <w:rFonts w:ascii="Arial" w:hAnsi="Arial" w:cs="Arial"/>
          <w:sz w:val="20"/>
          <w:szCs w:val="20"/>
        </w:rPr>
        <w:t xml:space="preserve">Szczegółowy opis przedmiotu zamówienia przedstawia załącznik nr </w:t>
      </w:r>
      <w:r w:rsidR="0092595B">
        <w:rPr>
          <w:rFonts w:ascii="Arial" w:hAnsi="Arial" w:cs="Arial"/>
          <w:sz w:val="20"/>
          <w:szCs w:val="20"/>
        </w:rPr>
        <w:t>1</w:t>
      </w:r>
      <w:r w:rsidR="003219B0">
        <w:rPr>
          <w:rFonts w:ascii="Arial" w:hAnsi="Arial" w:cs="Arial"/>
          <w:sz w:val="20"/>
          <w:szCs w:val="20"/>
        </w:rPr>
        <w:t xml:space="preserve">a  do </w:t>
      </w:r>
      <w:r w:rsidR="008A0667">
        <w:rPr>
          <w:rFonts w:ascii="Arial" w:hAnsi="Arial" w:cs="Arial"/>
          <w:sz w:val="20"/>
          <w:szCs w:val="20"/>
        </w:rPr>
        <w:t>b</w:t>
      </w:r>
      <w:r w:rsidR="0092595B">
        <w:rPr>
          <w:rFonts w:ascii="Arial" w:hAnsi="Arial" w:cs="Arial"/>
          <w:sz w:val="20"/>
          <w:szCs w:val="20"/>
        </w:rPr>
        <w:t xml:space="preserve"> </w:t>
      </w:r>
      <w:r w:rsidR="00E2038F" w:rsidRPr="00BE4F58">
        <w:rPr>
          <w:rFonts w:ascii="Arial" w:hAnsi="Arial" w:cs="Arial"/>
          <w:sz w:val="20"/>
          <w:szCs w:val="20"/>
        </w:rPr>
        <w:t xml:space="preserve">do </w:t>
      </w:r>
      <w:r w:rsidR="00C74DD1" w:rsidRPr="00BE4F58">
        <w:rPr>
          <w:rFonts w:ascii="Arial" w:hAnsi="Arial" w:cs="Arial"/>
          <w:sz w:val="20"/>
          <w:szCs w:val="20"/>
        </w:rPr>
        <w:t xml:space="preserve">WP </w:t>
      </w:r>
      <w:r w:rsidR="003219B0">
        <w:rPr>
          <w:rFonts w:ascii="Arial" w:hAnsi="Arial" w:cs="Arial"/>
          <w:sz w:val="20"/>
          <w:szCs w:val="20"/>
        </w:rPr>
        <w:t>odpowiednio dla danej części zamówienia</w:t>
      </w:r>
    </w:p>
    <w:p w:rsidR="003219B0" w:rsidRDefault="003219B0" w:rsidP="00C2609B">
      <w:pPr>
        <w:ind w:left="426"/>
        <w:jc w:val="both"/>
        <w:rPr>
          <w:rFonts w:ascii="Arial" w:hAnsi="Arial" w:cs="Arial"/>
          <w:sz w:val="20"/>
          <w:szCs w:val="20"/>
        </w:rPr>
      </w:pPr>
    </w:p>
    <w:p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t>Termin realizacji umowy</w:t>
      </w:r>
    </w:p>
    <w:p w:rsidR="008A0667" w:rsidRDefault="00E06A27" w:rsidP="008A0667">
      <w:pPr>
        <w:spacing w:line="360" w:lineRule="auto"/>
        <w:ind w:left="426"/>
        <w:jc w:val="both"/>
        <w:rPr>
          <w:rFonts w:ascii="Arial" w:hAnsi="Arial" w:cs="Arial"/>
          <w:sz w:val="20"/>
          <w:szCs w:val="20"/>
        </w:rPr>
      </w:pPr>
      <w:r w:rsidRPr="00C05A6E">
        <w:rPr>
          <w:rFonts w:ascii="Arial" w:hAnsi="Arial" w:cs="Arial"/>
          <w:sz w:val="20"/>
          <w:szCs w:val="20"/>
        </w:rPr>
        <w:t xml:space="preserve">Wymagany termin realizacji: </w:t>
      </w:r>
    </w:p>
    <w:p w:rsidR="008A0667" w:rsidRDefault="0094084B" w:rsidP="008A0667">
      <w:pPr>
        <w:spacing w:line="360" w:lineRule="auto"/>
        <w:ind w:left="426"/>
        <w:jc w:val="both"/>
        <w:rPr>
          <w:rFonts w:ascii="Arial" w:hAnsi="Arial" w:cs="Arial"/>
          <w:sz w:val="20"/>
          <w:szCs w:val="20"/>
        </w:rPr>
      </w:pPr>
      <w:r w:rsidRPr="008A0667">
        <w:rPr>
          <w:rFonts w:ascii="Arial" w:hAnsi="Arial" w:cs="Arial"/>
          <w:sz w:val="20"/>
          <w:szCs w:val="20"/>
        </w:rPr>
        <w:t>C</w:t>
      </w:r>
      <w:r w:rsidR="008A0667" w:rsidRPr="008A0667">
        <w:rPr>
          <w:rFonts w:ascii="Arial" w:hAnsi="Arial" w:cs="Arial"/>
          <w:sz w:val="20"/>
          <w:szCs w:val="20"/>
        </w:rPr>
        <w:t xml:space="preserve">zęść I – od 01-30.10.2025, </w:t>
      </w:r>
    </w:p>
    <w:p w:rsidR="008A0667" w:rsidRPr="008A0667" w:rsidRDefault="008A0667" w:rsidP="008A0667">
      <w:pPr>
        <w:spacing w:line="360" w:lineRule="auto"/>
        <w:ind w:left="426"/>
        <w:jc w:val="both"/>
        <w:rPr>
          <w:rFonts w:ascii="Arial" w:hAnsi="Arial" w:cs="Arial"/>
          <w:sz w:val="20"/>
          <w:szCs w:val="20"/>
        </w:rPr>
      </w:pPr>
      <w:r w:rsidRPr="008A0667">
        <w:rPr>
          <w:rFonts w:ascii="Arial" w:hAnsi="Arial" w:cs="Arial"/>
          <w:sz w:val="20"/>
          <w:szCs w:val="20"/>
        </w:rPr>
        <w:t>Część II:</w:t>
      </w:r>
      <w:r w:rsidR="0094084B" w:rsidRPr="0094084B">
        <w:rPr>
          <w:rFonts w:ascii="Arial" w:hAnsi="Arial" w:cs="Arial"/>
          <w:sz w:val="20"/>
          <w:szCs w:val="20"/>
        </w:rPr>
        <w:t xml:space="preserve"> </w:t>
      </w:r>
      <w:r w:rsidR="0094084B" w:rsidRPr="008A0667">
        <w:rPr>
          <w:rFonts w:ascii="Arial" w:hAnsi="Arial" w:cs="Arial"/>
          <w:sz w:val="20"/>
          <w:szCs w:val="20"/>
        </w:rPr>
        <w:t>od 27.10.2025r. do 14.11.2025r;</w:t>
      </w:r>
    </w:p>
    <w:p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F27BC5">
        <w:rPr>
          <w:rFonts w:ascii="Arial" w:hAnsi="Arial" w:cs="Arial"/>
          <w:sz w:val="20"/>
          <w:szCs w:val="20"/>
        </w:rPr>
        <w:t>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F27BC5">
        <w:rPr>
          <w:rFonts w:ascii="Arial" w:hAnsi="Arial" w:cs="Arial"/>
          <w:sz w:val="20"/>
          <w:szCs w:val="20"/>
        </w:rPr>
        <w:t>e</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rsidR="003219B0" w:rsidRPr="00BE4F58" w:rsidRDefault="003219B0" w:rsidP="00C2346B">
      <w:pPr>
        <w:spacing w:line="276" w:lineRule="auto"/>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rsidR="0053107B" w:rsidRPr="00BE4F58" w:rsidRDefault="00C2346B" w:rsidP="006E34BC">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1) posiadają uprawnienia d</w:t>
      </w:r>
      <w:r w:rsidR="001A2796" w:rsidRPr="00BE4F58">
        <w:rPr>
          <w:rFonts w:ascii="Arial" w:hAnsi="Arial" w:cs="Arial"/>
          <w:sz w:val="20"/>
          <w:szCs w:val="20"/>
        </w:rPr>
        <w:t xml:space="preserve">o wykonywania działalności lub </w:t>
      </w:r>
      <w:r w:rsidR="00D324A1" w:rsidRPr="00BE4F58">
        <w:rPr>
          <w:rFonts w:ascii="Arial" w:hAnsi="Arial" w:cs="Arial"/>
          <w:sz w:val="20"/>
          <w:szCs w:val="20"/>
        </w:rPr>
        <w:t>czynności, związanej z realizacją zamówienia będącego  przedm</w:t>
      </w:r>
      <w:r w:rsidR="005E1178" w:rsidRPr="00BE4F58">
        <w:rPr>
          <w:rFonts w:ascii="Arial" w:hAnsi="Arial" w:cs="Arial"/>
          <w:sz w:val="20"/>
          <w:szCs w:val="20"/>
        </w:rPr>
        <w:t>iotem niniejszego postępowania</w:t>
      </w:r>
      <w:r w:rsidR="0053107B" w:rsidRPr="00BE4F58">
        <w:rPr>
          <w:rFonts w:ascii="Arial" w:hAnsi="Arial" w:cs="Arial"/>
          <w:sz w:val="20"/>
          <w:szCs w:val="20"/>
        </w:rPr>
        <w:t xml:space="preserve"> </w:t>
      </w:r>
    </w:p>
    <w:p w:rsidR="00B76098" w:rsidRPr="00B76098" w:rsidRDefault="001028DA" w:rsidP="00F27BC5">
      <w:pPr>
        <w:tabs>
          <w:tab w:val="right" w:pos="284"/>
          <w:tab w:val="left" w:pos="709"/>
        </w:tabs>
        <w:spacing w:line="360" w:lineRule="auto"/>
        <w:ind w:left="709" w:hanging="283"/>
        <w:jc w:val="both"/>
        <w:rPr>
          <w:rFonts w:ascii="Arial" w:hAnsi="Arial" w:cs="Arial"/>
          <w:b/>
          <w:sz w:val="20"/>
          <w:szCs w:val="20"/>
        </w:rPr>
      </w:pPr>
      <w:r w:rsidRPr="00BE4F58">
        <w:rPr>
          <w:rFonts w:ascii="Arial" w:hAnsi="Arial" w:cs="Arial"/>
          <w:sz w:val="20"/>
          <w:szCs w:val="20"/>
        </w:rPr>
        <w:t xml:space="preserve">2) </w:t>
      </w:r>
      <w:r w:rsidR="00F43A7F" w:rsidRPr="00BE4F58">
        <w:rPr>
          <w:rFonts w:ascii="Arial" w:hAnsi="Arial" w:cs="Arial"/>
          <w:sz w:val="20"/>
          <w:szCs w:val="20"/>
        </w:rPr>
        <w:t xml:space="preserve"> </w:t>
      </w:r>
      <w:r w:rsidR="00DC24FC" w:rsidRPr="005A0A8D">
        <w:rPr>
          <w:rFonts w:ascii="Arial" w:hAnsi="Arial" w:cs="Arial"/>
          <w:sz w:val="20"/>
          <w:szCs w:val="20"/>
        </w:rPr>
        <w:t>posiadają niezbędną wiedzę i doświadczenie oraz dysponują potencjałem technicznym i osobami zdolnymi do wykonania zamówienia</w:t>
      </w:r>
      <w:r w:rsidR="00F27BC5">
        <w:rPr>
          <w:rFonts w:ascii="Arial" w:hAnsi="Arial" w:cs="Arial"/>
          <w:sz w:val="20"/>
          <w:szCs w:val="20"/>
        </w:rPr>
        <w:t>;</w:t>
      </w:r>
      <w:r w:rsidR="00DC24FC">
        <w:rPr>
          <w:rFonts w:ascii="Arial" w:hAnsi="Arial" w:cs="Arial"/>
          <w:sz w:val="20"/>
          <w:szCs w:val="20"/>
        </w:rPr>
        <w:t xml:space="preserve"> </w:t>
      </w:r>
    </w:p>
    <w:p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lastRenderedPageBreak/>
        <w:t>2)</w:t>
      </w:r>
      <w:r w:rsidRPr="00BE4F58">
        <w:rPr>
          <w:rFonts w:ascii="Arial" w:hAnsi="Arial" w:cs="Arial"/>
          <w:sz w:val="20"/>
          <w:szCs w:val="20"/>
        </w:rPr>
        <w:tab/>
        <w:t>w przypadku wykonawców zagranicznych dokumenty winny być przetłumaczone na język polski.</w:t>
      </w:r>
    </w:p>
    <w:p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Pr="00F27BC5"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rsidR="00037A18" w:rsidRPr="00F27BC5" w:rsidRDefault="00037A18" w:rsidP="00A40DFA">
      <w:pPr>
        <w:spacing w:line="360" w:lineRule="auto"/>
        <w:ind w:left="709" w:hanging="425"/>
        <w:jc w:val="both"/>
        <w:rPr>
          <w:rFonts w:ascii="Arial" w:eastAsia="Calibri" w:hAnsi="Arial" w:cs="Arial"/>
          <w:b/>
          <w:sz w:val="20"/>
          <w:szCs w:val="20"/>
          <w:lang w:eastAsia="en-US"/>
        </w:rPr>
      </w:pPr>
    </w:p>
    <w:p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2">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3"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lastRenderedPageBreak/>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4">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5">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6"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1) treść zapytania wraz z wyjaśnieniami zamieszcza na platformie zakupowej, bez ujawniania źródła zapytania;</w:t>
      </w:r>
    </w:p>
    <w:p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lastRenderedPageBreak/>
        <w:t xml:space="preserve"> 4) nie jest zobowiązany do udzielenia wyjaśnień, jeżeli prośba o wyjaśnienie treści warunków przetargu wpłynie do zamawiającego na mniej niż 3 dni przed terminem składania ofert.</w:t>
      </w:r>
    </w:p>
    <w:p w:rsidR="00037A18" w:rsidRPr="00BE4F58" w:rsidRDefault="00037A18" w:rsidP="00AF3378">
      <w:pPr>
        <w:spacing w:line="360" w:lineRule="auto"/>
        <w:ind w:left="709" w:hanging="283"/>
        <w:jc w:val="both"/>
        <w:rPr>
          <w:rFonts w:ascii="Arial" w:hAnsi="Arial" w:cs="Arial"/>
          <w:sz w:val="20"/>
          <w:szCs w:val="20"/>
        </w:rPr>
      </w:pP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t>VI.</w:t>
      </w:r>
      <w:r w:rsidRPr="00BE4F58">
        <w:rPr>
          <w:rFonts w:ascii="Arial" w:hAnsi="Arial" w:cs="Arial"/>
          <w:b/>
          <w:bCs/>
          <w:sz w:val="20"/>
          <w:szCs w:val="20"/>
        </w:rPr>
        <w:tab/>
        <w:t>Osoby uprawnione do porozumiewania się z wykonawcami</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B33749">
        <w:rPr>
          <w:rFonts w:ascii="Arial" w:hAnsi="Arial" w:cs="Arial"/>
          <w:spacing w:val="-6"/>
          <w:sz w:val="20"/>
          <w:szCs w:val="20"/>
        </w:rPr>
        <w:t>Katarzyna KUCHARSKA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rsidR="00C2346B"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rsidR="00AF1AF5" w:rsidRPr="00BE4F58"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8A0667">
        <w:rPr>
          <w:rFonts w:ascii="Arial" w:hAnsi="Arial" w:cs="Arial"/>
          <w:b/>
          <w:sz w:val="20"/>
          <w:szCs w:val="20"/>
          <w:highlight w:val="yellow"/>
        </w:rPr>
        <w:t>16.05</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B33749">
        <w:rPr>
          <w:rFonts w:ascii="Arial" w:hAnsi="Arial" w:cs="Arial"/>
          <w:b/>
          <w:sz w:val="20"/>
          <w:szCs w:val="20"/>
          <w:highlight w:val="yellow"/>
        </w:rPr>
        <w:t>09</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 xml:space="preserve">Oferty otrzymane przez zamawiającego po terminie określonym w pkt 2 nie będą rozpatrywane. </w:t>
      </w:r>
    </w:p>
    <w:p w:rsidR="00AF1AF5" w:rsidRPr="00BE4F58"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rsidR="00D324A1" w:rsidRPr="00BE4F58"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rsidR="00D324A1" w:rsidRPr="00BE4F58" w:rsidRDefault="00D324A1" w:rsidP="000F7015">
      <w:pPr>
        <w:spacing w:line="360" w:lineRule="auto"/>
        <w:ind w:left="426"/>
        <w:jc w:val="both"/>
        <w:rPr>
          <w:rFonts w:ascii="Arial" w:hAnsi="Arial" w:cs="Arial"/>
          <w:sz w:val="20"/>
          <w:szCs w:val="20"/>
        </w:rPr>
      </w:pPr>
      <w:r w:rsidRPr="00BE4F58">
        <w:rPr>
          <w:rFonts w:ascii="Arial" w:hAnsi="Arial" w:cs="Arial"/>
          <w:sz w:val="20"/>
          <w:szCs w:val="20"/>
        </w:rPr>
        <w:lastRenderedPageBreak/>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wykonawca wycofa ofertę po upływie terminu składania ofert;</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w:t>
      </w:r>
      <w:r w:rsidRPr="00BE4F58">
        <w:rPr>
          <w:rFonts w:ascii="Arial" w:hAnsi="Arial" w:cs="Arial"/>
          <w:sz w:val="20"/>
          <w:szCs w:val="20"/>
        </w:rPr>
        <w:lastRenderedPageBreak/>
        <w:t xml:space="preserve">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d) utworzył struktury audytu wewnętrznego do monitorowania przestrzegania przepisów, wewnętrznych regulacji lub standardów,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rsidR="009E03E8" w:rsidRPr="00BE4F58" w:rsidRDefault="009E03E8" w:rsidP="00BA1530">
      <w:pPr>
        <w:tabs>
          <w:tab w:val="left" w:pos="-142"/>
        </w:tabs>
        <w:ind w:left="426" w:hanging="426"/>
        <w:jc w:val="both"/>
        <w:rPr>
          <w:rFonts w:ascii="Arial" w:hAnsi="Arial" w:cs="Arial"/>
          <w:b/>
          <w:sz w:val="20"/>
          <w:szCs w:val="20"/>
        </w:rPr>
      </w:pPr>
    </w:p>
    <w:p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 przypadku, gdy </w:t>
      </w:r>
      <w:r w:rsidR="00152B3F" w:rsidRPr="00BE4F58">
        <w:rPr>
          <w:rFonts w:ascii="Arial" w:hAnsi="Arial" w:cs="Arial"/>
          <w:sz w:val="20"/>
          <w:szCs w:val="20"/>
        </w:rPr>
        <w:t>:</w:t>
      </w:r>
    </w:p>
    <w:p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 xml:space="preserve">w postępowaniu zostanie złożona jedna oferta nie podlegająca odrzuceniu i jej cena  przekracza </w:t>
      </w:r>
      <w:r w:rsidR="00AC228E" w:rsidRPr="00BE4F58">
        <w:rPr>
          <w:rFonts w:ascii="Arial" w:hAnsi="Arial" w:cs="Arial"/>
          <w:sz w:val="20"/>
          <w:szCs w:val="20"/>
        </w:rPr>
        <w:lastRenderedPageBreak/>
        <w:t>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w:t>
      </w:r>
      <w:r w:rsidRPr="00A67A3B">
        <w:rPr>
          <w:rFonts w:ascii="Arial" w:hAnsi="Arial" w:cs="Arial"/>
          <w:sz w:val="20"/>
          <w:szCs w:val="20"/>
        </w:rPr>
        <w:lastRenderedPageBreak/>
        <w:t xml:space="preserve">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5B1AC1" w:rsidP="000664CA">
            <w:pPr>
              <w:pStyle w:val="Stopka"/>
              <w:tabs>
                <w:tab w:val="clear" w:pos="4536"/>
                <w:tab w:val="clear" w:pos="9072"/>
              </w:tabs>
              <w:rPr>
                <w:rFonts w:ascii="Arial" w:hAnsi="Arial" w:cs="Arial"/>
                <w:sz w:val="20"/>
                <w:szCs w:val="20"/>
              </w:rPr>
            </w:pPr>
            <w:r w:rsidRPr="005B1AC1">
              <w:rPr>
                <w:rFonts w:ascii="Arial" w:hAnsi="Arial" w:cs="Arial"/>
                <w:sz w:val="20"/>
                <w:szCs w:val="20"/>
              </w:rPr>
              <w:t>kmdr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8A0667" w:rsidP="005B1AC1">
            <w:pPr>
              <w:pStyle w:val="Stopka"/>
              <w:tabs>
                <w:tab w:val="clear" w:pos="4536"/>
                <w:tab w:val="clear" w:pos="9072"/>
              </w:tabs>
              <w:rPr>
                <w:rFonts w:ascii="Arial" w:hAnsi="Arial" w:cs="Arial"/>
                <w:sz w:val="20"/>
                <w:szCs w:val="20"/>
              </w:rPr>
            </w:pPr>
            <w:r w:rsidRPr="008A0667">
              <w:rPr>
                <w:rFonts w:ascii="Arial" w:hAnsi="Arial" w:cs="Arial"/>
                <w:sz w:val="20"/>
                <w:szCs w:val="20"/>
              </w:rPr>
              <w:t>ppor. Aleksandra PLACHA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B33749" w:rsidP="000664CA">
            <w:pPr>
              <w:pStyle w:val="Stopka"/>
              <w:tabs>
                <w:tab w:val="clear" w:pos="4536"/>
                <w:tab w:val="clear" w:pos="9072"/>
              </w:tabs>
              <w:rPr>
                <w:rFonts w:ascii="Arial" w:hAnsi="Arial" w:cs="Arial"/>
                <w:sz w:val="20"/>
                <w:szCs w:val="20"/>
              </w:rPr>
            </w:pPr>
            <w:r>
              <w:rPr>
                <w:rFonts w:ascii="Arial" w:hAnsi="Arial" w:cs="Arial"/>
                <w:sz w:val="20"/>
                <w:szCs w:val="20"/>
              </w:rPr>
              <w:t>Katarzyna KUCHARSKA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7"/>
      <w:footerReference w:type="default" r:id="rId18"/>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0E5" w:rsidRDefault="00ED30E5">
      <w:r>
        <w:separator/>
      </w:r>
    </w:p>
  </w:endnote>
  <w:endnote w:type="continuationSeparator" w:id="0">
    <w:p w:rsidR="00ED30E5" w:rsidRDefault="00ED3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94084B">
      <w:rPr>
        <w:rFonts w:ascii="Arial" w:hAnsi="Arial" w:cs="Arial"/>
        <w:noProof/>
        <w:sz w:val="14"/>
        <w:szCs w:val="14"/>
      </w:rPr>
      <w:t>8</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0E5" w:rsidRDefault="00ED30E5">
      <w:r>
        <w:separator/>
      </w:r>
    </w:p>
  </w:footnote>
  <w:footnote w:type="continuationSeparator" w:id="0">
    <w:p w:rsidR="00ED30E5" w:rsidRDefault="00ED3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C66F53">
      <w:rPr>
        <w:rFonts w:ascii="Arial" w:hAnsi="Arial" w:cs="Arial"/>
        <w:b/>
        <w:sz w:val="20"/>
        <w:szCs w:val="20"/>
      </w:rPr>
      <w:t>5</w:t>
    </w:r>
    <w:r w:rsidR="00B93748">
      <w:rPr>
        <w:rFonts w:ascii="Arial" w:hAnsi="Arial" w:cs="Arial"/>
        <w:b/>
        <w:sz w:val="20"/>
        <w:szCs w:val="20"/>
      </w:rPr>
      <w:t>4</w:t>
    </w:r>
    <w:r w:rsidR="00CF1646" w:rsidRPr="00281086">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C66F53">
      <w:rPr>
        <w:rFonts w:ascii="Arial" w:hAnsi="Arial" w:cs="Arial"/>
        <w:b/>
        <w:sz w:val="20"/>
        <w:szCs w:val="20"/>
      </w:rPr>
      <w:t>SRM</w:t>
    </w:r>
    <w:r w:rsidR="00F27BC5">
      <w:rPr>
        <w:rFonts w:ascii="Arial" w:hAnsi="Arial" w:cs="Arial"/>
        <w:b/>
        <w:sz w:val="20"/>
        <w:szCs w:val="20"/>
      </w:rPr>
      <w:t>/</w:t>
    </w:r>
    <w:r w:rsidR="00AD3359">
      <w:rPr>
        <w:rFonts w:ascii="Arial" w:hAnsi="Arial" w:cs="Arial"/>
        <w:b/>
        <w:sz w:val="20"/>
        <w:szCs w:val="20"/>
      </w:rPr>
      <w:t>202</w:t>
    </w:r>
    <w:r w:rsidR="00037A18">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3"/>
  </w:num>
  <w:num w:numId="2">
    <w:abstractNumId w:val="11"/>
  </w:num>
  <w:num w:numId="3">
    <w:abstractNumId w:val="8"/>
  </w:num>
  <w:num w:numId="4">
    <w:abstractNumId w:val="6"/>
  </w:num>
  <w:num w:numId="5">
    <w:abstractNumId w:val="30"/>
  </w:num>
  <w:num w:numId="6">
    <w:abstractNumId w:val="2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2"/>
  </w:num>
  <w:num w:numId="11">
    <w:abstractNumId w:val="24"/>
  </w:num>
  <w:num w:numId="12">
    <w:abstractNumId w:val="13"/>
  </w:num>
  <w:num w:numId="13">
    <w:abstractNumId w:val="25"/>
  </w:num>
  <w:num w:numId="14">
    <w:abstractNumId w:val="5"/>
  </w:num>
  <w:num w:numId="15">
    <w:abstractNumId w:val="14"/>
  </w:num>
  <w:num w:numId="16">
    <w:abstractNumId w:val="9"/>
  </w:num>
  <w:num w:numId="17">
    <w:abstractNumId w:val="17"/>
  </w:num>
  <w:num w:numId="18">
    <w:abstractNumId w:val="26"/>
  </w:num>
  <w:num w:numId="19">
    <w:abstractNumId w:val="31"/>
  </w:num>
  <w:num w:numId="20">
    <w:abstractNumId w:val="3"/>
  </w:num>
  <w:num w:numId="21">
    <w:abstractNumId w:val="22"/>
  </w:num>
  <w:num w:numId="22">
    <w:abstractNumId w:val="27"/>
  </w:num>
  <w:num w:numId="23">
    <w:abstractNumId w:val="19"/>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5"/>
  </w:num>
  <w:num w:numId="26">
    <w:abstractNumId w:val="12"/>
  </w:num>
  <w:num w:numId="27">
    <w:abstractNumId w:val="18"/>
  </w:num>
  <w:num w:numId="28">
    <w:abstractNumId w:val="29"/>
  </w:num>
  <w:num w:numId="29">
    <w:abstractNumId w:val="2"/>
  </w:num>
  <w:num w:numId="30">
    <w:abstractNumId w:val="29"/>
    <w:lvlOverride w:ilvl="0">
      <w:startOverride w:val="1"/>
    </w:lvlOverride>
  </w:num>
  <w:num w:numId="31">
    <w:abstractNumId w:val="2"/>
    <w:lvlOverride w:ilvl="0">
      <w:startOverride w:val="1"/>
    </w:lvlOverride>
  </w:num>
  <w:num w:numId="32">
    <w:abstractNumId w:val="28"/>
  </w:num>
  <w:num w:numId="33">
    <w:abstractNumId w:val="4"/>
  </w:num>
  <w:num w:numId="34">
    <w:abstractNumId w:val="7"/>
  </w:num>
  <w:num w:numId="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53FC"/>
    <w:rsid w:val="000664CA"/>
    <w:rsid w:val="00066567"/>
    <w:rsid w:val="00067503"/>
    <w:rsid w:val="00067963"/>
    <w:rsid w:val="000703CF"/>
    <w:rsid w:val="000728E5"/>
    <w:rsid w:val="00072935"/>
    <w:rsid w:val="00073743"/>
    <w:rsid w:val="0007560D"/>
    <w:rsid w:val="00076187"/>
    <w:rsid w:val="00080550"/>
    <w:rsid w:val="000814B4"/>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57B1"/>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705"/>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6F1B"/>
    <w:rsid w:val="004F17DF"/>
    <w:rsid w:val="004F7162"/>
    <w:rsid w:val="00500627"/>
    <w:rsid w:val="00500B69"/>
    <w:rsid w:val="0050219B"/>
    <w:rsid w:val="005046F0"/>
    <w:rsid w:val="00504ABD"/>
    <w:rsid w:val="0050626A"/>
    <w:rsid w:val="00506466"/>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1AC1"/>
    <w:rsid w:val="005B2F14"/>
    <w:rsid w:val="005B329D"/>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47ECB"/>
    <w:rsid w:val="0075006D"/>
    <w:rsid w:val="00751C39"/>
    <w:rsid w:val="00752A2B"/>
    <w:rsid w:val="00753716"/>
    <w:rsid w:val="00753DCF"/>
    <w:rsid w:val="00757F02"/>
    <w:rsid w:val="0076093C"/>
    <w:rsid w:val="00761B02"/>
    <w:rsid w:val="00762AB0"/>
    <w:rsid w:val="00763900"/>
    <w:rsid w:val="00764FB4"/>
    <w:rsid w:val="007658A2"/>
    <w:rsid w:val="00767D4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0667"/>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084B"/>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A7DDB"/>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35F"/>
    <w:rsid w:val="00B30F75"/>
    <w:rsid w:val="00B31582"/>
    <w:rsid w:val="00B31FCE"/>
    <w:rsid w:val="00B32265"/>
    <w:rsid w:val="00B32B8C"/>
    <w:rsid w:val="00B33749"/>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748"/>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67B2"/>
    <w:rsid w:val="00C66F53"/>
    <w:rsid w:val="00C672F8"/>
    <w:rsid w:val="00C679AD"/>
    <w:rsid w:val="00C74DD1"/>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1BD"/>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A6F"/>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5921"/>
    <w:rsid w:val="00E77091"/>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5425"/>
    <w:rsid w:val="00EC668C"/>
    <w:rsid w:val="00EC7944"/>
    <w:rsid w:val="00ED0712"/>
    <w:rsid w:val="00ED1BF5"/>
    <w:rsid w:val="00ED270D"/>
    <w:rsid w:val="00ED275F"/>
    <w:rsid w:val="00ED2C0A"/>
    <w:rsid w:val="00ED30E5"/>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132C"/>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C6806"/>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5E39C22"/>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10" Type="http://schemas.openxmlformats.org/officeDocument/2006/relationships/hyperlink" Target="http://www.kpwgdynia.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1C1A9CF-B648-496C-A4B3-5C5D30D46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8</Pages>
  <Words>2799</Words>
  <Characters>19161</Characters>
  <Application>Microsoft Office Word</Application>
  <DocSecurity>0</DocSecurity>
  <Lines>159</Lines>
  <Paragraphs>43</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21917</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KUCHARSKA Katarzyna</cp:lastModifiedBy>
  <cp:revision>120</cp:revision>
  <cp:lastPrinted>2025-05-08T10:00:00Z</cp:lastPrinted>
  <dcterms:created xsi:type="dcterms:W3CDTF">2024-01-25T08:20:00Z</dcterms:created>
  <dcterms:modified xsi:type="dcterms:W3CDTF">2025-05-08T10:03:00Z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