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BD6B" w14:textId="77777777" w:rsidR="00CC10CB" w:rsidRPr="008A1EE8" w:rsidRDefault="00CC10CB" w:rsidP="00CC10CB">
      <w:pPr>
        <w:pStyle w:val="Nagwek"/>
        <w:jc w:val="right"/>
        <w:rPr>
          <w:b/>
          <w:bCs/>
        </w:rPr>
      </w:pPr>
    </w:p>
    <w:p w14:paraId="158DD4ED" w14:textId="7D2E3C3F" w:rsidR="00CC10CB" w:rsidRDefault="00CC10CB" w:rsidP="00CC10CB">
      <w:pPr>
        <w:pStyle w:val="Nagwek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247CF9E2" w14:textId="47FB7A40" w:rsidR="00CC10CB" w:rsidRDefault="00CC10CB" w:rsidP="00CC10CB">
      <w:pPr>
        <w:pStyle w:val="Nagwek"/>
        <w:jc w:val="center"/>
        <w:rPr>
          <w:rFonts w:cstheme="minorHAnsi"/>
          <w:bCs/>
        </w:rPr>
      </w:pPr>
      <w:r w:rsidRPr="008A1EE8">
        <w:rPr>
          <w:b/>
          <w:bCs/>
        </w:rPr>
        <w:t>dla cz. nr 1</w:t>
      </w:r>
      <w:r w:rsidRPr="008A1EE8">
        <w:t xml:space="preserve"> - </w:t>
      </w:r>
      <w:r w:rsidRPr="008A1EE8">
        <w:rPr>
          <w:rFonts w:cstheme="minorHAnsi"/>
          <w:bCs/>
        </w:rPr>
        <w:t>Kompleksowa obsługa prawna Uniwersytetu Przyrodniczego w Poznaniu z wyłączeniem obsługi Rektora i Senatu</w:t>
      </w:r>
    </w:p>
    <w:p w14:paraId="5B76BB02" w14:textId="2887FBAD" w:rsidR="001E55E8" w:rsidRPr="00B757FF" w:rsidRDefault="001E55E8" w:rsidP="00274175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66E15076" w:rsidR="00EE050E" w:rsidRPr="00CC10CB" w:rsidRDefault="00CC10CB" w:rsidP="00CC10CB">
            <w:pPr>
              <w:pStyle w:val="Nagwek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0FFB17BC" w:rsidR="00772431" w:rsidRPr="00CC10CB" w:rsidRDefault="00894B4B" w:rsidP="00F84A72">
            <w:pPr>
              <w:rPr>
                <w:rFonts w:cstheme="majorHAnsi"/>
                <w:bCs/>
                <w:sz w:val="20"/>
                <w:szCs w:val="20"/>
              </w:rPr>
            </w:pPr>
            <w:r w:rsidRPr="00CC10CB">
              <w:rPr>
                <w:rFonts w:cstheme="majorHAnsi"/>
                <w:bCs/>
                <w:sz w:val="20"/>
                <w:szCs w:val="20"/>
              </w:rPr>
              <w:t>AZ.262.</w:t>
            </w:r>
            <w:r w:rsidR="00CC10CB" w:rsidRPr="00CC10CB">
              <w:rPr>
                <w:rFonts w:cstheme="majorHAnsi"/>
                <w:bCs/>
                <w:sz w:val="20"/>
                <w:szCs w:val="20"/>
              </w:rPr>
              <w:t>4637</w:t>
            </w:r>
            <w:r w:rsidRPr="00CC10CB"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CC10CB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CC10CB" w14:paraId="1310675F" w14:textId="77777777" w:rsidTr="00CC10C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3374B1" w14:textId="6B5A7C3F" w:rsidR="00CC10CB" w:rsidRPr="00603BC3" w:rsidRDefault="00CC10CB" w:rsidP="00CC10CB">
            <w:pPr>
              <w:jc w:val="center"/>
              <w:rPr>
                <w:sz w:val="20"/>
                <w:szCs w:val="20"/>
              </w:rPr>
            </w:pPr>
            <w:r w:rsidRPr="005A2C01">
              <w:rPr>
                <w:rFonts w:cstheme="minorHAnsi"/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CC10CB" w14:paraId="16D0D990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38290F83" w14:textId="77777777" w:rsidR="00CC10CB" w:rsidRDefault="00CC10CB" w:rsidP="00CC10C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postępowaniu:</w:t>
            </w:r>
          </w:p>
          <w:p w14:paraId="3536BE93" w14:textId="77777777" w:rsidR="00CC10CB" w:rsidRPr="0094741B" w:rsidRDefault="00CC10CB" w:rsidP="00CC10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1A44E25F" w14:textId="77777777" w:rsidR="00CC10CB" w:rsidRPr="0094741B" w:rsidRDefault="00CC10CB" w:rsidP="00CC10C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5FAD0F75" w14:textId="77777777" w:rsidR="00CC10CB" w:rsidRPr="0094741B" w:rsidRDefault="00CC10CB" w:rsidP="00CC10C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1039DC9B" w14:textId="77777777" w:rsidR="00CC10CB" w:rsidRPr="00603BC3" w:rsidRDefault="00CC10CB" w:rsidP="00CC10CB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CC10CB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2CD26764" w14:textId="77777777" w:rsidTr="00CC10C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3102118" w14:textId="06D8A179" w:rsidR="00CC10CB" w:rsidRPr="0006788C" w:rsidRDefault="00CC10CB" w:rsidP="00CC10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CC10CB" w14:paraId="33C024B9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1091D208" w14:textId="77777777" w:rsidR="00CC10CB" w:rsidRDefault="00CC10CB" w:rsidP="00CC10C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(Dz. U.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1412A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71412A">
              <w:rPr>
                <w:rFonts w:cstheme="minorHAnsi"/>
                <w:sz w:val="20"/>
                <w:szCs w:val="20"/>
              </w:rPr>
              <w:t xml:space="preserve"> ze zm.).</w:t>
            </w:r>
          </w:p>
          <w:p w14:paraId="34C4A376" w14:textId="77777777" w:rsidR="00CC10CB" w:rsidRDefault="00CC10CB" w:rsidP="00CC10CB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366BB959" w14:textId="77777777" w:rsidR="00CC10CB" w:rsidRPr="00DF0B7C" w:rsidRDefault="00CC10CB" w:rsidP="00CC10CB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  <w:p w14:paraId="5DB250B7" w14:textId="77777777" w:rsidR="00CC10CB" w:rsidRPr="00DF0B7C" w:rsidRDefault="00CC10CB" w:rsidP="00CC10CB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76BFB643" w14:textId="77777777" w:rsidR="00CC10CB" w:rsidRPr="0006788C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4F793292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776E9327" w14:textId="5E741519" w:rsidR="00CC10CB" w:rsidRPr="0071412A" w:rsidRDefault="00CC10CB" w:rsidP="00CC10CB">
            <w:pPr>
              <w:contextualSpacing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265A3ECB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6F27C77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641BF24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1F2A63BD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38410A40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452894F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7B908134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  <w:p w14:paraId="68102C1D" w14:textId="77330695" w:rsidR="00CC10CB" w:rsidRPr="00CC10CB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29047B90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1B5E7C" w14:textId="7620A111" w:rsidR="00CC10CB" w:rsidRPr="0094741B" w:rsidRDefault="00CC10CB" w:rsidP="00A172CE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5E3CCFD3" w14:textId="7D8902FC" w:rsidR="00FA3AD1" w:rsidRDefault="00925708" w:rsidP="00A74E41">
      <w:pPr>
        <w:spacing w:before="1200"/>
        <w:jc w:val="center"/>
        <w:rPr>
          <w:b/>
          <w:bCs/>
        </w:rPr>
      </w:pPr>
      <w:r>
        <w:rPr>
          <w:b/>
          <w:bCs/>
        </w:rPr>
        <w:t>FORMULA</w:t>
      </w:r>
      <w:r w:rsidR="00ED6DCC">
        <w:rPr>
          <w:b/>
          <w:bCs/>
        </w:rPr>
        <w:t>R</w:t>
      </w:r>
      <w:r>
        <w:rPr>
          <w:b/>
          <w:bCs/>
        </w:rPr>
        <w:t>Z</w:t>
      </w:r>
      <w:r w:rsidR="00ED6DCC">
        <w:rPr>
          <w:b/>
          <w:bCs/>
        </w:rPr>
        <w:t xml:space="preserve"> </w:t>
      </w:r>
      <w:r>
        <w:rPr>
          <w:b/>
          <w:bCs/>
        </w:rPr>
        <w:t>CENOWY</w:t>
      </w:r>
    </w:p>
    <w:tbl>
      <w:tblPr>
        <w:tblW w:w="9406" w:type="dxa"/>
        <w:tblInd w:w="-337" w:type="dxa"/>
        <w:tblCellMar>
          <w:left w:w="89" w:type="dxa"/>
          <w:bottom w:w="105" w:type="dxa"/>
          <w:right w:w="101" w:type="dxa"/>
        </w:tblCellMar>
        <w:tblLook w:val="04A0" w:firstRow="1" w:lastRow="0" w:firstColumn="1" w:lastColumn="0" w:noHBand="0" w:noVBand="1"/>
      </w:tblPr>
      <w:tblGrid>
        <w:gridCol w:w="2461"/>
        <w:gridCol w:w="1701"/>
        <w:gridCol w:w="2551"/>
        <w:gridCol w:w="2693"/>
      </w:tblGrid>
      <w:tr w:rsidR="00985112" w:rsidRPr="00537B66" w14:paraId="338B53DD" w14:textId="77777777" w:rsidTr="00985112">
        <w:trPr>
          <w:trHeight w:val="616"/>
        </w:trPr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58EA350" w14:textId="6B5BA2A7" w:rsidR="00985112" w:rsidRPr="00ED6DCC" w:rsidRDefault="00985112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netto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miesiąc świadczenia usługi</w:t>
            </w:r>
          </w:p>
          <w:p w14:paraId="2589FC9B" w14:textId="3C1C0BCE" w:rsidR="00985112" w:rsidRPr="00ED6DCC" w:rsidRDefault="00985112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FB2F721" w14:textId="77777777" w:rsidR="00985112" w:rsidRDefault="00985112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7598CB" w14:textId="77777777" w:rsidR="00985112" w:rsidRDefault="00985112" w:rsidP="00C71839">
            <w:pPr>
              <w:spacing w:after="0"/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0E560005" w14:textId="005B0771" w:rsidR="00985112" w:rsidRPr="008C24D1" w:rsidRDefault="00985112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DE9DDC6" w14:textId="2B559BF9" w:rsidR="00985112" w:rsidRPr="00ED6DCC" w:rsidRDefault="00985112" w:rsidP="00985112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miesiąc świadczenia usługi</w:t>
            </w:r>
          </w:p>
          <w:p w14:paraId="7BFE4B36" w14:textId="5FED9AFE" w:rsidR="00985112" w:rsidRPr="008C24D1" w:rsidRDefault="00985112" w:rsidP="00985112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1DC0C536" w14:textId="4C375378" w:rsidR="00985112" w:rsidRPr="00985112" w:rsidRDefault="00985112" w:rsidP="000510C7">
            <w:pPr>
              <w:spacing w:after="5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51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Łączna wartość brutto za 12 miesięcy</w:t>
            </w:r>
          </w:p>
          <w:p w14:paraId="075A701A" w14:textId="6D21DF29" w:rsidR="00985112" w:rsidRPr="00985112" w:rsidRDefault="00985112" w:rsidP="00ED6DCC">
            <w:pPr>
              <w:spacing w:after="0"/>
              <w:ind w:lef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51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985112" w:rsidRPr="008B511F" w14:paraId="497CC6CD" w14:textId="77777777" w:rsidTr="00985112">
        <w:trPr>
          <w:trHeight w:val="598"/>
        </w:trPr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38D10" w14:textId="77777777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CF0A0" w14:textId="72F42D76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12E9D" w14:textId="045EC94B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0BC18" w14:textId="795067FA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5CB508" w14:textId="74FC5A7B" w:rsidR="00FA3AD1" w:rsidRPr="00EC55B2" w:rsidRDefault="00FA3AD1" w:rsidP="00EC55B2">
      <w:pPr>
        <w:spacing w:after="0"/>
        <w:ind w:left="-284"/>
        <w:rPr>
          <w:rFonts w:ascii="Calibri" w:eastAsia="Times New Roman" w:hAnsi="Calibri" w:cs="Calibri"/>
          <w:color w:val="000000"/>
        </w:rPr>
      </w:pPr>
    </w:p>
    <w:p w14:paraId="481CA018" w14:textId="77777777" w:rsidR="00985112" w:rsidRDefault="00985112" w:rsidP="00455560">
      <w:pPr>
        <w:spacing w:before="2160"/>
        <w:jc w:val="center"/>
        <w:rPr>
          <w:b/>
          <w:bCs/>
        </w:rPr>
      </w:pPr>
    </w:p>
    <w:p w14:paraId="5C577E10" w14:textId="21E324FA" w:rsidR="00686791" w:rsidRDefault="00DF30B4" w:rsidP="00A74E41">
      <w:pPr>
        <w:spacing w:before="960"/>
        <w:jc w:val="center"/>
        <w:rPr>
          <w:b/>
          <w:bCs/>
        </w:rPr>
      </w:pPr>
      <w:r w:rsidRPr="00DF30B4">
        <w:rPr>
          <w:b/>
          <w:bCs/>
        </w:rPr>
        <w:lastRenderedPageBreak/>
        <w:t>KRYTERIUM OCENY OFERT NR 2</w:t>
      </w:r>
    </w:p>
    <w:p w14:paraId="228C5FD4" w14:textId="77777777" w:rsidR="00A74E41" w:rsidRPr="00A74E41" w:rsidRDefault="00A74E41" w:rsidP="00A74E41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 w:rsidRPr="00A74E41">
        <w:rPr>
          <w:rFonts w:ascii="Calibri" w:eastAsia="Times New Roman" w:hAnsi="Calibri" w:cs="Calibri"/>
          <w:b/>
          <w:bCs/>
          <w:lang w:eastAsia="x-none"/>
        </w:rPr>
        <w:t xml:space="preserve">Nazwa kryterium: </w:t>
      </w:r>
    </w:p>
    <w:p w14:paraId="220E3FF2" w14:textId="3930236A" w:rsidR="00455560" w:rsidRDefault="00455560" w:rsidP="00A74E41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 w:rsidRPr="00A74E41">
        <w:rPr>
          <w:rFonts w:ascii="Calibri" w:eastAsia="Times New Roman" w:hAnsi="Calibri" w:cs="Calibri"/>
          <w:b/>
          <w:bCs/>
          <w:lang w:eastAsia="x-none"/>
        </w:rPr>
        <w:t>Doświadczenie zawodowe w doradztwie prawnym radcy prawnego/adwokata - posiada 15 osób</w:t>
      </w:r>
    </w:p>
    <w:p w14:paraId="06CB6065" w14:textId="77777777" w:rsidR="00A74E41" w:rsidRPr="00A74E41" w:rsidRDefault="00A74E41" w:rsidP="00A74E41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279"/>
        <w:gridCol w:w="4247"/>
      </w:tblGrid>
      <w:tr w:rsidR="00455560" w:rsidRPr="0030744F" w14:paraId="466E0174" w14:textId="77777777" w:rsidTr="00455560">
        <w:trPr>
          <w:trHeight w:val="748"/>
        </w:trPr>
        <w:tc>
          <w:tcPr>
            <w:tcW w:w="536" w:type="dxa"/>
            <w:shd w:val="clear" w:color="auto" w:fill="C5E0B3" w:themeFill="accent6" w:themeFillTint="66"/>
          </w:tcPr>
          <w:p w14:paraId="14ECD96A" w14:textId="433DAFB9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279" w:type="dxa"/>
            <w:shd w:val="clear" w:color="auto" w:fill="C5E0B3" w:themeFill="accent6" w:themeFillTint="66"/>
          </w:tcPr>
          <w:p w14:paraId="5D5D6D3B" w14:textId="77777777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Imię i nazwisko radcy prawnego/adwokata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64345356" w14:textId="1CC1C98A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  <w:vertAlign w:val="superscript"/>
              </w:rPr>
            </w:pPr>
            <w:r w:rsidRPr="0030744F">
              <w:rPr>
                <w:rFonts w:cstheme="minorHAnsi"/>
                <w:sz w:val="20"/>
                <w:szCs w:val="20"/>
                <w:lang w:eastAsia="x-none"/>
              </w:rPr>
              <w:t>Doświadczenie zawodowe w doradztwie prawnym radcy prawnego/adwokata</w:t>
            </w:r>
          </w:p>
        </w:tc>
      </w:tr>
      <w:tr w:rsidR="00455560" w:rsidRPr="0030744F" w14:paraId="199846AE" w14:textId="77777777" w:rsidTr="00320BBF">
        <w:tc>
          <w:tcPr>
            <w:tcW w:w="536" w:type="dxa"/>
          </w:tcPr>
          <w:p w14:paraId="053A989C" w14:textId="5C34815C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33FD4781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6ACE77F" w14:textId="77777777" w:rsidR="00455560" w:rsidRPr="0030744F" w:rsidRDefault="00455560" w:rsidP="001C042E">
            <w:pPr>
              <w:spacing w:line="259" w:lineRule="auto"/>
              <w:ind w:left="736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0239BF7E" w14:textId="77777777" w:rsidR="00455560" w:rsidRPr="0030744F" w:rsidRDefault="00455560" w:rsidP="00320BBF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088E9AD9" w14:textId="64B70480" w:rsidR="00455560" w:rsidRPr="0030744F" w:rsidRDefault="00455560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</w:t>
            </w:r>
            <w:r w:rsidR="00A74E41" w:rsidRPr="0030744F">
              <w:rPr>
                <w:rFonts w:cstheme="minorHAnsi"/>
                <w:sz w:val="20"/>
                <w:szCs w:val="20"/>
              </w:rPr>
              <w:t xml:space="preserve">i </w:t>
            </w:r>
            <w:r w:rsidRPr="0030744F">
              <w:rPr>
                <w:rFonts w:cstheme="minorHAnsi"/>
                <w:sz w:val="20"/>
                <w:szCs w:val="20"/>
              </w:rPr>
              <w:t xml:space="preserve">więcej </w:t>
            </w:r>
            <w:r w:rsidR="00A74E41" w:rsidRPr="0030744F">
              <w:rPr>
                <w:rFonts w:cstheme="minorHAnsi"/>
                <w:sz w:val="20"/>
                <w:szCs w:val="20"/>
              </w:rPr>
              <w:t xml:space="preserve">pełnych </w:t>
            </w:r>
            <w:r w:rsidRPr="0030744F">
              <w:rPr>
                <w:rFonts w:cstheme="minorHAnsi"/>
                <w:sz w:val="20"/>
                <w:szCs w:val="20"/>
              </w:rPr>
              <w:t>miesięcy</w:t>
            </w:r>
          </w:p>
          <w:p w14:paraId="61D73EFC" w14:textId="77777777" w:rsidR="00455560" w:rsidRPr="0030744F" w:rsidRDefault="00455560" w:rsidP="00320BB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74CC9EBE" w14:textId="77777777" w:rsidTr="00320BBF">
        <w:tc>
          <w:tcPr>
            <w:tcW w:w="536" w:type="dxa"/>
          </w:tcPr>
          <w:p w14:paraId="01DC41BA" w14:textId="65537E9C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2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79D23F1A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C377B64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578583AB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381916E1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0131F690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403AAF41" w14:textId="77777777" w:rsidTr="00320BBF">
        <w:tc>
          <w:tcPr>
            <w:tcW w:w="536" w:type="dxa"/>
          </w:tcPr>
          <w:p w14:paraId="68F2D436" w14:textId="380097AF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3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46C4044B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58F94D3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604D2962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0B39806D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52A5DDCC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33FB5D0C" w14:textId="77777777" w:rsidTr="00320BBF">
        <w:tc>
          <w:tcPr>
            <w:tcW w:w="536" w:type="dxa"/>
          </w:tcPr>
          <w:p w14:paraId="266229C8" w14:textId="104EE92B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4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1EE996FB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9C7F65C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5742DC78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3B10D883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5BE3247B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44514D48" w14:textId="77777777" w:rsidTr="00320BBF">
        <w:tc>
          <w:tcPr>
            <w:tcW w:w="536" w:type="dxa"/>
          </w:tcPr>
          <w:p w14:paraId="4D2D7172" w14:textId="1D670BF4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5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63660551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E53C65A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2EED3939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5DB900F8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7589D8DB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5D2BC037" w14:textId="77777777" w:rsidTr="00320BBF">
        <w:tc>
          <w:tcPr>
            <w:tcW w:w="536" w:type="dxa"/>
          </w:tcPr>
          <w:p w14:paraId="7E0EA994" w14:textId="369DB24D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6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138C9E96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424BA9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2B5D58D4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37258CF7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722A55D5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190CE927" w14:textId="77777777" w:rsidTr="00320BBF">
        <w:tc>
          <w:tcPr>
            <w:tcW w:w="536" w:type="dxa"/>
          </w:tcPr>
          <w:p w14:paraId="7279F749" w14:textId="5510F219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7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4C10AEA5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ACE1441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2EEBEB1D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2BA787C9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4C7AAB5D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7D9A59A1" w14:textId="77777777" w:rsidTr="00320BBF">
        <w:tc>
          <w:tcPr>
            <w:tcW w:w="536" w:type="dxa"/>
          </w:tcPr>
          <w:p w14:paraId="1F5932E5" w14:textId="41034BAD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8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3C0237BC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25E96DB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11CE26DA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2CB54420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61365CFE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68882918" w14:textId="77777777" w:rsidTr="00320BBF">
        <w:tc>
          <w:tcPr>
            <w:tcW w:w="536" w:type="dxa"/>
          </w:tcPr>
          <w:p w14:paraId="256D8221" w14:textId="5BD46DF4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9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75260394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67B13B3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2AAF8A6D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2B5E4D9E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0BF8F2D2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560" w:rsidRPr="0030744F" w14:paraId="58C16CAE" w14:textId="77777777" w:rsidTr="00320BBF">
        <w:tc>
          <w:tcPr>
            <w:tcW w:w="536" w:type="dxa"/>
          </w:tcPr>
          <w:p w14:paraId="4A9D7082" w14:textId="253F2556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10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14F20F8F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F8B1562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15C05873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lastRenderedPageBreak/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0F0DF365" w14:textId="77777777" w:rsidR="00A74E41" w:rsidRPr="0030744F" w:rsidRDefault="00A74E41" w:rsidP="00A74E41">
            <w:pPr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  <w:p w14:paraId="579DB8A5" w14:textId="77777777" w:rsidR="00455560" w:rsidRPr="0030744F" w:rsidRDefault="00455560" w:rsidP="00320B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E41" w:rsidRPr="0030744F" w14:paraId="44CEBCCE" w14:textId="77777777" w:rsidTr="00320BBF">
        <w:tc>
          <w:tcPr>
            <w:tcW w:w="536" w:type="dxa"/>
          </w:tcPr>
          <w:p w14:paraId="02F33608" w14:textId="68F6914E" w:rsidR="00A74E41" w:rsidRPr="0030744F" w:rsidRDefault="00A74E41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79" w:type="dxa"/>
          </w:tcPr>
          <w:p w14:paraId="476C7EE9" w14:textId="77777777" w:rsidR="00A74E41" w:rsidRPr="0030744F" w:rsidRDefault="00A74E41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0484CEB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60BBB24E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284D9EB8" w14:textId="6A2CBDA2" w:rsidR="00A74E41" w:rsidRPr="0030744F" w:rsidRDefault="00A74E41" w:rsidP="00A74E41">
            <w:pPr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</w:tc>
      </w:tr>
      <w:tr w:rsidR="00A74E41" w:rsidRPr="0030744F" w14:paraId="53ADD62D" w14:textId="77777777" w:rsidTr="00320BBF">
        <w:tc>
          <w:tcPr>
            <w:tcW w:w="536" w:type="dxa"/>
          </w:tcPr>
          <w:p w14:paraId="2A1D333A" w14:textId="6AC816ED" w:rsidR="00A74E41" w:rsidRPr="0030744F" w:rsidRDefault="00A74E41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279" w:type="dxa"/>
          </w:tcPr>
          <w:p w14:paraId="3D431309" w14:textId="77777777" w:rsidR="00A74E41" w:rsidRPr="0030744F" w:rsidRDefault="00A74E41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C0E8AD6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04F11B72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513E0760" w14:textId="5173DD05" w:rsidR="00A74E41" w:rsidRPr="0030744F" w:rsidRDefault="00A74E41" w:rsidP="00A74E41">
            <w:pPr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</w:tc>
      </w:tr>
      <w:tr w:rsidR="00A74E41" w:rsidRPr="0030744F" w14:paraId="68BCC08D" w14:textId="77777777" w:rsidTr="00320BBF">
        <w:tc>
          <w:tcPr>
            <w:tcW w:w="536" w:type="dxa"/>
          </w:tcPr>
          <w:p w14:paraId="475A9202" w14:textId="5E6288A8" w:rsidR="00A74E41" w:rsidRPr="0030744F" w:rsidRDefault="00A74E41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279" w:type="dxa"/>
          </w:tcPr>
          <w:p w14:paraId="78A027DF" w14:textId="77777777" w:rsidR="00A74E41" w:rsidRPr="0030744F" w:rsidRDefault="00A74E41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4F2FB9B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58AB4DA3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33268B5A" w14:textId="0ABB3C68" w:rsidR="00A74E41" w:rsidRPr="0030744F" w:rsidRDefault="00A74E41" w:rsidP="00A74E41">
            <w:pPr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</w:tc>
      </w:tr>
      <w:tr w:rsidR="00A74E41" w:rsidRPr="0030744F" w14:paraId="32AB461A" w14:textId="77777777" w:rsidTr="00320BBF">
        <w:tc>
          <w:tcPr>
            <w:tcW w:w="536" w:type="dxa"/>
          </w:tcPr>
          <w:p w14:paraId="24B3D23B" w14:textId="74034646" w:rsidR="00A74E41" w:rsidRPr="0030744F" w:rsidRDefault="00A74E41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279" w:type="dxa"/>
          </w:tcPr>
          <w:p w14:paraId="2194DC41" w14:textId="77777777" w:rsidR="00A74E41" w:rsidRPr="0030744F" w:rsidRDefault="00A74E41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C0917BB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13E03262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66D273A4" w14:textId="75328C94" w:rsidR="00A74E41" w:rsidRPr="0030744F" w:rsidRDefault="00A74E41" w:rsidP="00A74E41">
            <w:pPr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</w:tc>
      </w:tr>
      <w:tr w:rsidR="00A74E41" w:rsidRPr="0030744F" w14:paraId="128A3938" w14:textId="77777777" w:rsidTr="00320BBF">
        <w:tc>
          <w:tcPr>
            <w:tcW w:w="536" w:type="dxa"/>
          </w:tcPr>
          <w:p w14:paraId="09DD10D3" w14:textId="2ECB8457" w:rsidR="00A74E41" w:rsidRPr="0030744F" w:rsidRDefault="00A74E41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279" w:type="dxa"/>
          </w:tcPr>
          <w:p w14:paraId="00DB3457" w14:textId="77777777" w:rsidR="00A74E41" w:rsidRPr="0030744F" w:rsidRDefault="00A74E41" w:rsidP="00320B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F47FAC2" w14:textId="77777777" w:rsidR="00A74E41" w:rsidRPr="0030744F" w:rsidRDefault="00A74E41" w:rsidP="00A74E41">
            <w:pPr>
              <w:spacing w:before="120" w:line="259" w:lineRule="auto"/>
              <w:ind w:left="7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24 pełne miesiące </w:t>
            </w:r>
          </w:p>
          <w:p w14:paraId="776BBB04" w14:textId="77777777" w:rsidR="00A74E41" w:rsidRPr="0030744F" w:rsidRDefault="00A74E41" w:rsidP="00A74E41">
            <w:pPr>
              <w:spacing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25 – 47 pełnych miesięcy  </w:t>
            </w:r>
          </w:p>
          <w:p w14:paraId="74739E3B" w14:textId="4443946F" w:rsidR="00A74E41" w:rsidRPr="0030744F" w:rsidRDefault="00A74E41" w:rsidP="00A74E41">
            <w:pPr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 xml:space="preserve">       </w:t>
            </w:r>
            <w:r w:rsidRPr="003074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0744F">
              <w:rPr>
                <w:rFonts w:cstheme="minorHAnsi"/>
                <w:sz w:val="20"/>
                <w:szCs w:val="20"/>
              </w:rPr>
              <w:t xml:space="preserve">   48 i więcej pełnych miesięcy</w:t>
            </w:r>
          </w:p>
        </w:tc>
      </w:tr>
    </w:tbl>
    <w:p w14:paraId="316B5255" w14:textId="6EA6659E" w:rsidR="0030744F" w:rsidRDefault="0030744F" w:rsidP="0030744F">
      <w:pPr>
        <w:spacing w:before="960"/>
        <w:jc w:val="center"/>
        <w:rPr>
          <w:b/>
          <w:bCs/>
        </w:rPr>
      </w:pPr>
      <w:r w:rsidRPr="00DF30B4">
        <w:rPr>
          <w:b/>
          <w:bCs/>
        </w:rPr>
        <w:t xml:space="preserve">KRYTERIUM OCENY OFERT NR </w:t>
      </w:r>
      <w:r>
        <w:rPr>
          <w:b/>
          <w:bCs/>
        </w:rPr>
        <w:t>3</w:t>
      </w:r>
    </w:p>
    <w:p w14:paraId="7D425FAA" w14:textId="77777777" w:rsidR="0030744F" w:rsidRPr="0030744F" w:rsidRDefault="0030744F" w:rsidP="0030744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 w:rsidRPr="0030744F">
        <w:rPr>
          <w:rFonts w:ascii="Calibri" w:eastAsia="Times New Roman" w:hAnsi="Calibri" w:cs="Calibri"/>
          <w:b/>
          <w:bCs/>
          <w:lang w:eastAsia="x-none"/>
        </w:rPr>
        <w:t xml:space="preserve">Nazwa kryterium: </w:t>
      </w:r>
    </w:p>
    <w:p w14:paraId="69C88ADF" w14:textId="094F0CC2" w:rsidR="0030744F" w:rsidRDefault="0030744F" w:rsidP="0030744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bookmarkStart w:id="0" w:name="_Hlk118277819"/>
      <w:r w:rsidRPr="0030744F">
        <w:rPr>
          <w:rFonts w:ascii="Calibri" w:eastAsia="Times New Roman" w:hAnsi="Calibri" w:cs="Calibri"/>
          <w:b/>
          <w:bCs/>
          <w:lang w:eastAsia="x-none"/>
        </w:rPr>
        <w:t>Doświadczenie zawodowe w obsłudze prawnej publicznej uczelni wyższej</w:t>
      </w:r>
      <w:bookmarkEnd w:id="0"/>
      <w:r w:rsidRPr="0030744F">
        <w:rPr>
          <w:rFonts w:ascii="Calibri" w:eastAsia="Times New Roman" w:hAnsi="Calibri" w:cs="Calibri"/>
          <w:b/>
          <w:bCs/>
          <w:lang w:eastAsia="x-none"/>
        </w:rPr>
        <w:t xml:space="preserve"> radcy prawnego /adwokata - posiada 5 osób</w:t>
      </w:r>
    </w:p>
    <w:p w14:paraId="38A93163" w14:textId="4DD884AC" w:rsidR="0030744F" w:rsidRDefault="0030744F" w:rsidP="0030744F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279"/>
        <w:gridCol w:w="4247"/>
      </w:tblGrid>
      <w:tr w:rsidR="0030744F" w:rsidRPr="0030744F" w14:paraId="3E6438E4" w14:textId="77777777" w:rsidTr="002C1105">
        <w:trPr>
          <w:trHeight w:val="748"/>
        </w:trPr>
        <w:tc>
          <w:tcPr>
            <w:tcW w:w="536" w:type="dxa"/>
            <w:shd w:val="clear" w:color="auto" w:fill="C5E0B3" w:themeFill="accent6" w:themeFillTint="66"/>
          </w:tcPr>
          <w:p w14:paraId="27860F23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279" w:type="dxa"/>
            <w:shd w:val="clear" w:color="auto" w:fill="C5E0B3" w:themeFill="accent6" w:themeFillTint="66"/>
          </w:tcPr>
          <w:p w14:paraId="5CFF80EA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Imię i nazwisko radcy prawnego/adwokata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51016A9F" w14:textId="17D6C6C0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  <w:vertAlign w:val="superscript"/>
              </w:rPr>
            </w:pPr>
            <w:r w:rsidRPr="0030744F">
              <w:rPr>
                <w:rFonts w:cstheme="minorHAnsi"/>
                <w:sz w:val="20"/>
                <w:szCs w:val="20"/>
                <w:lang w:eastAsia="x-none"/>
              </w:rPr>
              <w:t xml:space="preserve">Doświadczenie zawodowe w </w:t>
            </w:r>
            <w:r>
              <w:rPr>
                <w:rFonts w:cstheme="minorHAnsi"/>
                <w:sz w:val="20"/>
                <w:szCs w:val="20"/>
                <w:lang w:eastAsia="x-none"/>
              </w:rPr>
              <w:t>obsłudze prawnej publicznej uczelni wyższej</w:t>
            </w:r>
          </w:p>
        </w:tc>
      </w:tr>
      <w:tr w:rsidR="0030744F" w:rsidRPr="0030744F" w14:paraId="35705D81" w14:textId="77777777" w:rsidTr="002C1105">
        <w:tc>
          <w:tcPr>
            <w:tcW w:w="536" w:type="dxa"/>
          </w:tcPr>
          <w:p w14:paraId="25E76895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79" w:type="dxa"/>
          </w:tcPr>
          <w:p w14:paraId="39A3E93B" w14:textId="77777777" w:rsidR="0030744F" w:rsidRPr="0030744F" w:rsidRDefault="0030744F" w:rsidP="002C11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1224B4E" w14:textId="6A803E20" w:rsidR="0030744F" w:rsidRPr="0030744F" w:rsidRDefault="0030744F" w:rsidP="0030744F">
            <w:pPr>
              <w:numPr>
                <w:ilvl w:val="0"/>
                <w:numId w:val="36"/>
              </w:numPr>
              <w:spacing w:before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pełnych miesięcy</w:t>
            </w:r>
          </w:p>
          <w:p w14:paraId="5BAFB88A" w14:textId="057709A4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– 12 pełnych miesięcy</w:t>
            </w:r>
          </w:p>
          <w:p w14:paraId="7F4771BA" w14:textId="1B86F416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– 18 pełnych miesięcy</w:t>
            </w:r>
          </w:p>
          <w:p w14:paraId="3B57E170" w14:textId="51E0332C" w:rsidR="0030744F" w:rsidRPr="0030744F" w:rsidRDefault="0030744F" w:rsidP="0030744F">
            <w:pPr>
              <w:numPr>
                <w:ilvl w:val="0"/>
                <w:numId w:val="36"/>
              </w:numPr>
              <w:spacing w:after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 i więcej pełnych miesięcy </w:t>
            </w:r>
          </w:p>
        </w:tc>
      </w:tr>
      <w:tr w:rsidR="0030744F" w:rsidRPr="0030744F" w14:paraId="617B6FB4" w14:textId="77777777" w:rsidTr="002C1105">
        <w:tc>
          <w:tcPr>
            <w:tcW w:w="536" w:type="dxa"/>
          </w:tcPr>
          <w:p w14:paraId="32BFF335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79" w:type="dxa"/>
          </w:tcPr>
          <w:p w14:paraId="08E20DD3" w14:textId="77777777" w:rsidR="0030744F" w:rsidRPr="0030744F" w:rsidRDefault="0030744F" w:rsidP="002C11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138F7E1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before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pełnych miesięcy</w:t>
            </w:r>
          </w:p>
          <w:p w14:paraId="218A434A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– 12 pełnych miesięcy</w:t>
            </w:r>
          </w:p>
          <w:p w14:paraId="50442B79" w14:textId="7EB98158" w:rsid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– 18 pełnych miesięcy</w:t>
            </w:r>
          </w:p>
          <w:p w14:paraId="6B5CC842" w14:textId="6244A6A2" w:rsidR="0030744F" w:rsidRPr="0030744F" w:rsidRDefault="0030744F" w:rsidP="0030744F">
            <w:pPr>
              <w:numPr>
                <w:ilvl w:val="0"/>
                <w:numId w:val="36"/>
              </w:numPr>
              <w:spacing w:after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 i więcej pełnych miesięcy </w:t>
            </w:r>
          </w:p>
        </w:tc>
      </w:tr>
      <w:tr w:rsidR="0030744F" w:rsidRPr="0030744F" w14:paraId="7E24F08D" w14:textId="77777777" w:rsidTr="002C1105">
        <w:tc>
          <w:tcPr>
            <w:tcW w:w="536" w:type="dxa"/>
          </w:tcPr>
          <w:p w14:paraId="5779439A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279" w:type="dxa"/>
          </w:tcPr>
          <w:p w14:paraId="62234468" w14:textId="77777777" w:rsidR="0030744F" w:rsidRPr="0030744F" w:rsidRDefault="0030744F" w:rsidP="002C11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C6376F3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before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pełnych miesięcy</w:t>
            </w:r>
          </w:p>
          <w:p w14:paraId="4ED722CA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– 12 pełnych miesięcy</w:t>
            </w:r>
          </w:p>
          <w:p w14:paraId="2E5E8968" w14:textId="17712804" w:rsid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– 18 pełnych miesięcy</w:t>
            </w:r>
          </w:p>
          <w:p w14:paraId="244820F4" w14:textId="7BCA3571" w:rsidR="0030744F" w:rsidRPr="0030744F" w:rsidRDefault="0030744F" w:rsidP="0030744F">
            <w:pPr>
              <w:numPr>
                <w:ilvl w:val="0"/>
                <w:numId w:val="36"/>
              </w:numPr>
              <w:spacing w:after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19 i więcej pełnych miesięcy</w:t>
            </w:r>
          </w:p>
        </w:tc>
      </w:tr>
      <w:tr w:rsidR="0030744F" w:rsidRPr="0030744F" w14:paraId="1E86471B" w14:textId="77777777" w:rsidTr="002C1105">
        <w:tc>
          <w:tcPr>
            <w:tcW w:w="536" w:type="dxa"/>
          </w:tcPr>
          <w:p w14:paraId="6A2D4F1A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79" w:type="dxa"/>
          </w:tcPr>
          <w:p w14:paraId="67407847" w14:textId="77777777" w:rsidR="0030744F" w:rsidRPr="0030744F" w:rsidRDefault="0030744F" w:rsidP="002C11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7F5A459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before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pełnych miesięcy</w:t>
            </w:r>
          </w:p>
          <w:p w14:paraId="25AEE478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– 12 pełnych miesięcy</w:t>
            </w:r>
          </w:p>
          <w:p w14:paraId="417F8611" w14:textId="46254BA2" w:rsid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– 18 pełnych miesięcy</w:t>
            </w:r>
          </w:p>
          <w:p w14:paraId="31D048D1" w14:textId="54471609" w:rsidR="0030744F" w:rsidRPr="0030744F" w:rsidRDefault="0030744F" w:rsidP="0030744F">
            <w:pPr>
              <w:numPr>
                <w:ilvl w:val="0"/>
                <w:numId w:val="36"/>
              </w:numPr>
              <w:spacing w:after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 i więcej pełnych miesięcy </w:t>
            </w:r>
          </w:p>
        </w:tc>
      </w:tr>
      <w:tr w:rsidR="0030744F" w:rsidRPr="0030744F" w14:paraId="790AFA71" w14:textId="77777777" w:rsidTr="002C1105">
        <w:tc>
          <w:tcPr>
            <w:tcW w:w="536" w:type="dxa"/>
          </w:tcPr>
          <w:p w14:paraId="20628DBC" w14:textId="77777777" w:rsidR="0030744F" w:rsidRPr="0030744F" w:rsidRDefault="0030744F" w:rsidP="002C110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279" w:type="dxa"/>
          </w:tcPr>
          <w:p w14:paraId="7FE41E3D" w14:textId="77777777" w:rsidR="0030744F" w:rsidRPr="0030744F" w:rsidRDefault="0030744F" w:rsidP="002C11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AD1F77B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before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pełnych miesięcy</w:t>
            </w:r>
          </w:p>
          <w:p w14:paraId="14100B78" w14:textId="77777777" w:rsidR="0030744F" w:rsidRP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– 12 pełnych miesięcy</w:t>
            </w:r>
          </w:p>
          <w:p w14:paraId="4694AFB8" w14:textId="388F9C9A" w:rsidR="0030744F" w:rsidRDefault="0030744F" w:rsidP="0030744F">
            <w:pPr>
              <w:numPr>
                <w:ilvl w:val="0"/>
                <w:numId w:val="36"/>
              </w:numPr>
              <w:spacing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– 18 pełnych miesięcy</w:t>
            </w:r>
          </w:p>
          <w:p w14:paraId="2D6AE61F" w14:textId="5125F75D" w:rsidR="0030744F" w:rsidRPr="0030744F" w:rsidRDefault="0030744F" w:rsidP="0030744F">
            <w:pPr>
              <w:numPr>
                <w:ilvl w:val="0"/>
                <w:numId w:val="36"/>
              </w:numPr>
              <w:spacing w:after="120" w:line="264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74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 i więcej pełnych miesięcy </w:t>
            </w:r>
          </w:p>
        </w:tc>
      </w:tr>
    </w:tbl>
    <w:p w14:paraId="06668EEF" w14:textId="77777777" w:rsidR="0030744F" w:rsidRPr="0030744F" w:rsidRDefault="0030744F" w:rsidP="0030744F">
      <w:pPr>
        <w:spacing w:after="0" w:line="240" w:lineRule="auto"/>
        <w:jc w:val="both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1CCF5DF7" w14:textId="77777777" w:rsidR="00CC10CB" w:rsidRDefault="00CC10CB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2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DBB" w14:textId="1A2C9F6C" w:rsidR="00BC7B8D" w:rsidRDefault="00BC7B8D" w:rsidP="00BC7B8D">
    <w:pPr>
      <w:pStyle w:val="Nagwek"/>
      <w:jc w:val="center"/>
    </w:pPr>
  </w:p>
  <w:p w14:paraId="03F4BACF" w14:textId="0011670C" w:rsidR="00CC10CB" w:rsidRDefault="00CC10CB" w:rsidP="00CC10CB">
    <w:pPr>
      <w:pStyle w:val="Nagwek"/>
      <w:jc w:val="right"/>
    </w:pPr>
    <w:r>
      <w:t xml:space="preserve">Numer postępowania: </w:t>
    </w:r>
    <w:r w:rsidRPr="008A1EE8">
      <w:t>AZ.262.4637.2024</w:t>
    </w:r>
  </w:p>
  <w:p w14:paraId="36AADE06" w14:textId="54145B87" w:rsidR="00CC10CB" w:rsidRDefault="00CC10CB" w:rsidP="00CC10CB">
    <w:pPr>
      <w:pStyle w:val="Nagwek"/>
      <w:jc w:val="right"/>
    </w:pPr>
  </w:p>
  <w:p w14:paraId="2C083F3B" w14:textId="54B98D69" w:rsidR="00CC10CB" w:rsidRPr="00CC10CB" w:rsidRDefault="00CC10CB" w:rsidP="00CC10CB">
    <w:pPr>
      <w:pStyle w:val="Nagwek"/>
      <w:jc w:val="right"/>
    </w:pPr>
    <w:r w:rsidRPr="00CC10CB">
      <w:t>Załącznik nr 1A do SWZ</w:t>
    </w:r>
  </w:p>
  <w:p w14:paraId="7A5655E9" w14:textId="5CB0C14E" w:rsidR="00EE050E" w:rsidRDefault="00EE050E" w:rsidP="00CC1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92898"/>
    <w:multiLevelType w:val="hybridMultilevel"/>
    <w:tmpl w:val="FEA0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B2203"/>
    <w:multiLevelType w:val="hybridMultilevel"/>
    <w:tmpl w:val="13E0C70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2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1"/>
  </w:num>
  <w:num w:numId="20">
    <w:abstractNumId w:val="33"/>
  </w:num>
  <w:num w:numId="21">
    <w:abstractNumId w:val="34"/>
  </w:num>
  <w:num w:numId="22">
    <w:abstractNumId w:val="30"/>
  </w:num>
  <w:num w:numId="23">
    <w:abstractNumId w:val="25"/>
  </w:num>
  <w:num w:numId="24">
    <w:abstractNumId w:val="6"/>
  </w:num>
  <w:num w:numId="25">
    <w:abstractNumId w:val="7"/>
  </w:num>
  <w:num w:numId="26">
    <w:abstractNumId w:val="20"/>
  </w:num>
  <w:num w:numId="27">
    <w:abstractNumId w:val="21"/>
  </w:num>
  <w:num w:numId="28">
    <w:abstractNumId w:val="35"/>
  </w:num>
  <w:num w:numId="29">
    <w:abstractNumId w:val="13"/>
  </w:num>
  <w:num w:numId="30">
    <w:abstractNumId w:val="22"/>
  </w:num>
  <w:num w:numId="31">
    <w:abstractNumId w:val="27"/>
  </w:num>
  <w:num w:numId="32">
    <w:abstractNumId w:val="17"/>
  </w:num>
  <w:num w:numId="33">
    <w:abstractNumId w:val="12"/>
  </w:num>
  <w:num w:numId="34">
    <w:abstractNumId w:val="28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042E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0744F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3637"/>
    <w:rsid w:val="003F0E58"/>
    <w:rsid w:val="003F44CD"/>
    <w:rsid w:val="00403B58"/>
    <w:rsid w:val="00455560"/>
    <w:rsid w:val="00462F3E"/>
    <w:rsid w:val="00470BE0"/>
    <w:rsid w:val="004843C6"/>
    <w:rsid w:val="004918F4"/>
    <w:rsid w:val="00491CB5"/>
    <w:rsid w:val="004B7710"/>
    <w:rsid w:val="004E4627"/>
    <w:rsid w:val="00506645"/>
    <w:rsid w:val="00522B6B"/>
    <w:rsid w:val="00525E3C"/>
    <w:rsid w:val="00537B66"/>
    <w:rsid w:val="00541CA1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83925"/>
    <w:rsid w:val="00795C91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85112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4E41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1839"/>
    <w:rsid w:val="00C73DF3"/>
    <w:rsid w:val="00C84200"/>
    <w:rsid w:val="00CA3FB7"/>
    <w:rsid w:val="00CB1BBA"/>
    <w:rsid w:val="00CB3D60"/>
    <w:rsid w:val="00CC10CB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37</cp:revision>
  <cp:lastPrinted>2023-09-21T07:05:00Z</cp:lastPrinted>
  <dcterms:created xsi:type="dcterms:W3CDTF">2024-01-22T12:46:00Z</dcterms:created>
  <dcterms:modified xsi:type="dcterms:W3CDTF">2024-12-30T07:52:00Z</dcterms:modified>
</cp:coreProperties>
</file>