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7DE49A99" w:rsidR="00CA56A5" w:rsidRPr="00021080" w:rsidRDefault="00CA56A5" w:rsidP="00021080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021080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Cz. </w:t>
      </w:r>
      <w:r w:rsidR="00BF5847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7</w:t>
      </w:r>
    </w:p>
    <w:p w14:paraId="4625C265" w14:textId="2A96167F" w:rsidR="002703C6" w:rsidRPr="00021080" w:rsidRDefault="002703C6" w:rsidP="00021080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021080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6C078D75" w:rsidR="00923305" w:rsidRPr="00021080" w:rsidRDefault="006C0FFB" w:rsidP="00021080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021080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Zakup oraz dostawa </w:t>
      </w:r>
      <w:r w:rsidR="002C2E66" w:rsidRPr="002C2E66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obciążenia bateryjnego wraz z osprzętem i systemem BMS oraz zwrotem energii do sieci</w:t>
      </w:r>
    </w:p>
    <w:p w14:paraId="3DF75A3A" w14:textId="72DF3C18" w:rsidR="00FB4DB6" w:rsidRPr="00021080" w:rsidRDefault="00FB4DB6" w:rsidP="00021080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6C0FFB" w:rsidRPr="00021080" w14:paraId="655F8A28" w14:textId="77777777" w:rsidTr="00021080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021080" w:rsidRDefault="00553B72" w:rsidP="00021080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2E20E61D" w:rsidR="00553B72" w:rsidRPr="00021080" w:rsidRDefault="002C2E66" w:rsidP="0002108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2C2E66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>Zakup oraz dostawa obciążenia bateryjnego wraz z osprzętem i systemem BMS</w:t>
            </w:r>
            <w:r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2C2E66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>oraz</w:t>
            </w:r>
            <w:r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2C2E66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zwrotem energii do sieci </w:t>
            </w:r>
            <w:r w:rsidR="00021080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– 1 sztuka</w:t>
            </w:r>
          </w:p>
        </w:tc>
      </w:tr>
      <w:tr w:rsidR="006C0FFB" w:rsidRPr="00021080" w14:paraId="78010441" w14:textId="77777777" w:rsidTr="00021080">
        <w:trPr>
          <w:trHeight w:val="1260"/>
        </w:trPr>
        <w:tc>
          <w:tcPr>
            <w:tcW w:w="2205" w:type="dxa"/>
            <w:vAlign w:val="center"/>
          </w:tcPr>
          <w:p w14:paraId="1D441067" w14:textId="77777777" w:rsidR="00553B72" w:rsidRPr="00021080" w:rsidRDefault="00553B72" w:rsidP="00021080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021080" w:rsidRDefault="00553B72" w:rsidP="00021080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021080" w:rsidRDefault="00553B72" w:rsidP="00021080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  <w:vAlign w:val="center"/>
          </w:tcPr>
          <w:p w14:paraId="2D0BDF65" w14:textId="7F9C2B74" w:rsidR="00AF42D9" w:rsidRPr="00463716" w:rsidRDefault="00A7312F" w:rsidP="00AF42D9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Funkcja:</w:t>
            </w:r>
            <w:r w:rsidR="00AF42D9">
              <w:rPr>
                <w:rFonts w:ascii="Verdana" w:eastAsia="Verdana" w:hAnsi="Verdana" w:cs="Verdana"/>
                <w:color w:val="FF0000"/>
                <w:sz w:val="18"/>
                <w:szCs w:val="18"/>
                <w:lang w:eastAsia="pl-PL"/>
              </w:rPr>
              <w:t xml:space="preserve"> </w:t>
            </w:r>
            <w:r w:rsidR="00AF42D9" w:rsidRPr="0046371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Obciążenie</w:t>
            </w:r>
            <w:r w:rsidR="00763188" w:rsidRPr="0046371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bateryjne </w:t>
            </w:r>
            <w:r w:rsidR="00AF42D9" w:rsidRPr="0046371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wraz z osprzętem   </w:t>
            </w:r>
            <w:r w:rsidR="00AF42D9" w:rsidRPr="00463716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będzie stanowić wyposażenie tworzonego Nowego Laboratorium Wysokoczęstotliwościowego w technologii </w:t>
            </w:r>
            <w:proofErr w:type="spellStart"/>
            <w:r w:rsidR="00AF42D9" w:rsidRPr="00463716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AF42D9" w:rsidRPr="00463716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AF42D9" w:rsidRPr="00463716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AF42D9" w:rsidRPr="00463716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urządzenie, które znacząco pozwoli na rozwój i zwiększenie możliwości badawczych w w/w zakresie. </w:t>
            </w:r>
            <w:r w:rsidR="00CC7CBA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Urządzenie</w:t>
            </w:r>
            <w:r w:rsidR="009D67A5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="00002F67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przeznaczone do </w:t>
            </w:r>
            <w:r w:rsidR="00D507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pochłaniania prądu i mocy ze </w:t>
            </w:r>
            <w:r w:rsidR="00CC7CBA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źródła </w:t>
            </w:r>
            <w:r w:rsidR="00D507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zasilania</w:t>
            </w:r>
            <w:r w:rsidR="005120B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, </w:t>
            </w:r>
            <w:r w:rsidR="004C696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poprzez</w:t>
            </w:r>
            <w:r w:rsidR="005120B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="00AA4016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funkcje sekwencyjnego sterowania umożliwia symulacje rzeczywistego obciążenia</w:t>
            </w:r>
            <w:r w:rsidR="004C696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.</w:t>
            </w:r>
            <w:r w:rsidR="00AA4016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</w:p>
          <w:p w14:paraId="101133E7" w14:textId="77777777" w:rsidR="00A7312F" w:rsidRPr="00021080" w:rsidRDefault="00A7312F" w:rsidP="00021080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405F3E6D" w14:textId="6F5CA68F" w:rsidR="006C0FFB" w:rsidRPr="00021080" w:rsidRDefault="00A7312F" w:rsidP="00021080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Przeznaczenie: </w:t>
            </w:r>
            <w:r w:rsidR="006C0FFB"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Dostawa jest częścią projektu inwestycyjnego pn. „Rozbudowa potencjału badawczego Sieć Badawcza Łukasiewicz  - Instytutu Elektrotechniki”, obejmującego swoim zakresem m.in. modernizację Laboratorium technologii Gan i </w:t>
            </w:r>
            <w:proofErr w:type="spellStart"/>
            <w:r w:rsidR="006C0FFB"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6C0FFB"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. </w:t>
            </w:r>
          </w:p>
          <w:p w14:paraId="20EABAD5" w14:textId="77777777" w:rsidR="006C0FFB" w:rsidRPr="00021080" w:rsidRDefault="006C0FFB" w:rsidP="00021080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680E520C" w14:textId="77777777" w:rsidR="006C0FFB" w:rsidRPr="00021080" w:rsidRDefault="006C0FFB" w:rsidP="00021080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</w:p>
          <w:p w14:paraId="0D4DAD60" w14:textId="5B71671D" w:rsidR="00553B72" w:rsidRPr="00021080" w:rsidRDefault="006C0FFB" w:rsidP="00021080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6C0FFB" w:rsidRPr="00021080" w14:paraId="303971A0" w14:textId="77777777" w:rsidTr="00021080">
        <w:trPr>
          <w:trHeight w:val="277"/>
        </w:trPr>
        <w:tc>
          <w:tcPr>
            <w:tcW w:w="2205" w:type="dxa"/>
            <w:vAlign w:val="center"/>
          </w:tcPr>
          <w:p w14:paraId="0D2DA5D2" w14:textId="74BBCFAD" w:rsidR="00426206" w:rsidRPr="00021080" w:rsidRDefault="00426206" w:rsidP="00021080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  <w:vAlign w:val="center"/>
          </w:tcPr>
          <w:p w14:paraId="2B3F2349" w14:textId="784BF855" w:rsidR="00391F58" w:rsidRPr="00021080" w:rsidRDefault="006C0FFB" w:rsidP="00021080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38500000-0- Aparatura kontrolna i badawcza</w:t>
            </w:r>
          </w:p>
        </w:tc>
      </w:tr>
      <w:tr w:rsidR="00CA56A5" w:rsidRPr="00021080" w14:paraId="3502818D" w14:textId="77777777" w:rsidTr="00021080">
        <w:trPr>
          <w:trHeight w:val="282"/>
        </w:trPr>
        <w:tc>
          <w:tcPr>
            <w:tcW w:w="2205" w:type="dxa"/>
            <w:vMerge w:val="restart"/>
            <w:vAlign w:val="center"/>
          </w:tcPr>
          <w:p w14:paraId="35569E3A" w14:textId="77777777" w:rsidR="00C4150E" w:rsidRPr="00021080" w:rsidRDefault="00C4150E" w:rsidP="00021080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021080" w:rsidRDefault="00C4150E" w:rsidP="00021080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021080" w:rsidRDefault="00C4150E" w:rsidP="00021080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021080" w:rsidRDefault="00C4150E" w:rsidP="00021080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021080" w:rsidRDefault="00C4150E" w:rsidP="00021080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CA56A5" w:rsidRPr="00021080" w14:paraId="28D4751F" w14:textId="77777777" w:rsidTr="00021080">
        <w:trPr>
          <w:trHeight w:val="144"/>
        </w:trPr>
        <w:tc>
          <w:tcPr>
            <w:tcW w:w="2205" w:type="dxa"/>
            <w:vMerge/>
            <w:vAlign w:val="center"/>
          </w:tcPr>
          <w:p w14:paraId="7C83F905" w14:textId="77777777" w:rsidR="00955570" w:rsidRPr="00021080" w:rsidRDefault="00955570" w:rsidP="00021080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  <w:vAlign w:val="center"/>
          </w:tcPr>
          <w:p w14:paraId="7642C0AE" w14:textId="06C1BB39" w:rsidR="00303757" w:rsidRPr="00021080" w:rsidRDefault="00021080" w:rsidP="00021080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</w:t>
            </w:r>
            <w:r w:rsidR="00303757" w:rsidRPr="00021080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luczowe parametry wymagane (zaoferowane urządzenie musi spełniać):</w:t>
            </w:r>
          </w:p>
          <w:p w14:paraId="490F1E47" w14:textId="77777777" w:rsidR="00C4150E" w:rsidRPr="00021080" w:rsidRDefault="00C4150E" w:rsidP="00021080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bookmarkStart w:id="0" w:name="_Hlk158977475"/>
          </w:p>
          <w:bookmarkEnd w:id="0"/>
          <w:p w14:paraId="13FE38D8" w14:textId="77777777" w:rsidR="006C0FFB" w:rsidRPr="00021080" w:rsidRDefault="006C0FFB" w:rsidP="00021080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Urządzenie musi być  fabrycznie nowe.</w:t>
            </w:r>
          </w:p>
          <w:p w14:paraId="1AD76F1E" w14:textId="3F3C856B" w:rsidR="006C0FFB" w:rsidRPr="00021080" w:rsidRDefault="006C0FFB" w:rsidP="00021080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posiadać</w:t>
            </w:r>
            <w:r w:rsidR="00021080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wymagane parametry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:</w:t>
            </w:r>
          </w:p>
          <w:p w14:paraId="29BBFF8A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musi  być używane jako symulator baterii</w:t>
            </w:r>
          </w:p>
          <w:p w14:paraId="2C472188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Zakres pracy napięcia stałego DC  od 0 V do 1600 V,</w:t>
            </w:r>
          </w:p>
          <w:p w14:paraId="3FDE346D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Zakres prądu pracy DC  regulowany od 0 A do 120A ,</w:t>
            </w:r>
          </w:p>
          <w:p w14:paraId="4A8E0127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Zakres mocy wejściowej regulowany od 0W do 40 kW,</w:t>
            </w:r>
          </w:p>
          <w:p w14:paraId="44CF20EA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posiada generator przebiegów,</w:t>
            </w:r>
          </w:p>
          <w:p w14:paraId="592E927D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jest  wyposażone w cyfrowe jak również analogowe interfejsy komunikacyjne,</w:t>
            </w:r>
          </w:p>
          <w:p w14:paraId="6AB6AB4F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Funkcja regeneracji energii będzie przekazywana do lokalnej sieci elektrycznej,</w:t>
            </w:r>
          </w:p>
          <w:p w14:paraId="7CD6F719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powinno posiadać intuicyjny ekran dotykowy z graficznym interfejsem użytkownika umożliwiający bezpośrednio wyświetlanie ustawień a także określonych pomiarów </w:t>
            </w:r>
          </w:p>
          <w:p w14:paraId="5DD26E85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jest konfigurowalne pod względem  wyboru typu pracy,</w:t>
            </w:r>
          </w:p>
          <w:p w14:paraId="6CE6C8A5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lastRenderedPageBreak/>
              <w:t>Urządzenie umożliwia testowanie różnych rodzajów akumulatorów poprzez ich zarówno ładowanie jak i rozładowywanie,</w:t>
            </w:r>
          </w:p>
          <w:p w14:paraId="6CAC4418" w14:textId="77777777" w:rsidR="00C6680C" w:rsidRPr="00C6680C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posiada możliwość poprzez rozbudowę oraz posiadać możliwość   zwiększenia mocy,</w:t>
            </w:r>
          </w:p>
          <w:p w14:paraId="519E9D5B" w14:textId="27BD4B20" w:rsidR="006C0FFB" w:rsidRPr="00021080" w:rsidRDefault="00C6680C" w:rsidP="00C6680C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Urządzanie musi posiadać system pozwalający na zmianę typów baterii oraz pozwalający symulować krzywe charakterystyczne modułów baterii</w:t>
            </w:r>
            <w:r w:rsidR="006C0FFB"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6DF51CE4" w14:textId="72EC3083" w:rsidR="00955570" w:rsidRPr="00021080" w:rsidRDefault="00955570" w:rsidP="00021080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  <w:vAlign w:val="center"/>
          </w:tcPr>
          <w:p w14:paraId="5D7A5ABF" w14:textId="212C2D75" w:rsidR="00FF1EAF" w:rsidRPr="00021080" w:rsidRDefault="00955570" w:rsidP="00021080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Opis techniczny </w:t>
            </w:r>
            <w:r w:rsidR="00F34BBA"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oferowane</w:t>
            </w:r>
            <w:r w:rsidR="006C0FFB"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go urządzenia</w:t>
            </w:r>
            <w:r w:rsidR="00C4150E"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3BBBF95" w14:textId="77777777" w:rsidR="00955570" w:rsidRPr="00021080" w:rsidRDefault="00955570" w:rsidP="00021080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BB80A3C" w14:textId="4DBEBCD8" w:rsidR="006C0FFB" w:rsidRPr="00021080" w:rsidRDefault="006C0FFB" w:rsidP="00021080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Urządzenie fabrycznie nowe 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3E6D7F68" w14:textId="1F53F028" w:rsidR="006C0FFB" w:rsidRPr="00021080" w:rsidRDefault="00021080" w:rsidP="00021080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posiadać</w:t>
            </w:r>
            <w: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wymagane </w:t>
            </w:r>
            <w:r w:rsidR="006C0FFB" w:rsidRPr="00021080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parametry</w:t>
            </w:r>
            <w:r w:rsidR="006C0FFB"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:</w:t>
            </w:r>
          </w:p>
          <w:p w14:paraId="294B09CD" w14:textId="18F36C77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musi  być używane jako symulator baterii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3EC3CCD2" w14:textId="37818D5D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Zakres pracy napięcia stałego DC  od 0 V do 1600 V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78957BD6" w14:textId="17285F45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Zakres prądu pracy DC  regulowany od 0 A do 120A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19BCC1FF" w14:textId="61F1095E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Zakres mocy wejściowej regulowany od 0W do 40 kW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796B13D9" w14:textId="20E840C9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posiada generator przebiegów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1BE55F39" w14:textId="3005A13B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jest  wyposażone w cyfrowe jak również analogowe interfejsy komunikacyjne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4982DD0E" w14:textId="34986CFC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Funkcja regeneracji energii będzie przekazywana do lokalnej sieci elektrycznej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3C6749A3" w14:textId="5699C454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powinno posiadać intuicyjny ekran dotykowy z graficznym interfejsem użytkownika umożliwiający bezpośrednio wyświetlanie ustawień a także określonych pomiarów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180CD1A" w14:textId="6AD8C98E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lastRenderedPageBreak/>
              <w:t>Urządzenie jest konfigurowalne pod względem  wyboru typu pracy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54944F3" w14:textId="4A6B1146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umożliwia testowanie różnych rodzajów akumulatorów poprzez ich zarówno ładowanie jak i rozładowywanie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6E6E457" w14:textId="4E4B0152" w:rsidR="00C6680C" w:rsidRPr="00C6680C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posiada możliwość poprzez rozbudowę oraz posiadać możliwość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zwiększenia mocy</w:t>
            </w:r>
            <w: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- </w:t>
            </w:r>
            <w:r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F653848" w14:textId="62D28AB6" w:rsidR="006C0FFB" w:rsidRPr="00021080" w:rsidRDefault="00C6680C" w:rsidP="00C6680C">
            <w:pPr>
              <w:numPr>
                <w:ilvl w:val="0"/>
                <w:numId w:val="6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C6680C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Urządzanie musi posiadać system pozwalający na zmianę typów baterii oraz pozwalający symulować krzywe charakterystyczne modułów baterii</w:t>
            </w:r>
            <w:r w:rsidR="006C0FFB"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- </w:t>
            </w:r>
            <w:r w:rsidR="006C0FFB" w:rsidRPr="00021080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F624A97" w14:textId="5483F779" w:rsidR="00955570" w:rsidRPr="00021080" w:rsidRDefault="00085C06" w:rsidP="00021080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021080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odpowiednie</w:t>
            </w:r>
          </w:p>
        </w:tc>
      </w:tr>
      <w:tr w:rsidR="006C0FFB" w:rsidRPr="00021080" w14:paraId="24117C05" w14:textId="77777777" w:rsidTr="00021080">
        <w:tc>
          <w:tcPr>
            <w:tcW w:w="2205" w:type="dxa"/>
            <w:vAlign w:val="center"/>
          </w:tcPr>
          <w:p w14:paraId="0B6EA0C0" w14:textId="77777777" w:rsidR="00303757" w:rsidRPr="00021080" w:rsidRDefault="00303757" w:rsidP="00021080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021080" w:rsidRDefault="00303757" w:rsidP="00021080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  <w:vAlign w:val="center"/>
          </w:tcPr>
          <w:p w14:paraId="39A718A1" w14:textId="77777777" w:rsidR="006C0FFB" w:rsidRPr="00021080" w:rsidRDefault="006C0FFB" w:rsidP="00021080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21080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Wraz z dostawą wykonawca dostarczy:</w:t>
            </w:r>
          </w:p>
          <w:p w14:paraId="5A6899E6" w14:textId="77777777" w:rsidR="006C0FFB" w:rsidRPr="00021080" w:rsidRDefault="006C0FFB" w:rsidP="00021080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Świadectwa jakości producenta potwierdzające parametry określone przez Zamawiającego</w:t>
            </w:r>
          </w:p>
          <w:p w14:paraId="79E4FC58" w14:textId="77777777" w:rsidR="006C0FFB" w:rsidRPr="00021080" w:rsidRDefault="006C0FFB" w:rsidP="00021080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Deklarację CE producenta urządzeń</w:t>
            </w:r>
          </w:p>
          <w:p w14:paraId="60B1BC78" w14:textId="77777777" w:rsidR="006C0FFB" w:rsidRPr="00021080" w:rsidRDefault="006C0FFB" w:rsidP="00021080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Kartę gwarancyjną producenta urządzeń</w:t>
            </w:r>
          </w:p>
          <w:p w14:paraId="5B353A7C" w14:textId="72DE24CE" w:rsidR="00303757" w:rsidRPr="00021080" w:rsidRDefault="006C0FFB" w:rsidP="00021080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Instrukcja obsługi(</w:t>
            </w:r>
            <w:r w:rsid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</w:t>
            </w:r>
            <w:r w:rsid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języku</w:t>
            </w:r>
            <w:r w:rsid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p</w:t>
            </w:r>
            <w:r w:rsidRPr="00021080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olskim)</w:t>
            </w:r>
          </w:p>
        </w:tc>
      </w:tr>
      <w:tr w:rsidR="006C0FFB" w:rsidRPr="00021080" w14:paraId="5CAA0E0D" w14:textId="77777777" w:rsidTr="00021080">
        <w:trPr>
          <w:trHeight w:val="208"/>
        </w:trPr>
        <w:tc>
          <w:tcPr>
            <w:tcW w:w="2205" w:type="dxa"/>
            <w:vAlign w:val="center"/>
          </w:tcPr>
          <w:p w14:paraId="492CCFB4" w14:textId="1142C368" w:rsidR="00303757" w:rsidRPr="00021080" w:rsidRDefault="00303757" w:rsidP="00021080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24032239" w14:textId="492FEE98" w:rsidR="006C0FFB" w:rsidRPr="00021080" w:rsidRDefault="00C6680C" w:rsidP="00021080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Segoe UI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="006C0FFB" w:rsidRPr="00021080">
              <w:rPr>
                <w:rFonts w:ascii="Verdana" w:hAnsi="Verdana" w:cs="Segoe UI"/>
                <w:b/>
                <w:bCs/>
                <w:color w:val="000000" w:themeColor="text1"/>
                <w:sz w:val="18"/>
                <w:szCs w:val="18"/>
              </w:rPr>
              <w:t xml:space="preserve"> tygodni</w:t>
            </w:r>
            <w:r w:rsid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</w:t>
            </w:r>
            <w:r w:rsidR="006C0FFB" w:rsidRP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od</w:t>
            </w:r>
            <w:r w:rsid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</w:t>
            </w:r>
            <w:r w:rsidR="006C0FFB" w:rsidRP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dnia zawarcia umowy.</w:t>
            </w:r>
          </w:p>
          <w:p w14:paraId="2744A419" w14:textId="77777777" w:rsidR="006C0FFB" w:rsidRPr="00021080" w:rsidRDefault="006C0FFB" w:rsidP="00021080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Wszelkie zmiany umowy w zakresie zmiany terminu realizacji zamówienia nie mogą wydłużyć realizacji zamówienia poza 31 grudnia 2025 r. </w:t>
            </w:r>
          </w:p>
          <w:p w14:paraId="0F582030" w14:textId="77777777" w:rsidR="006C0FFB" w:rsidRPr="00021080" w:rsidRDefault="006C0FFB" w:rsidP="00021080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42D78164" w14:textId="77777777" w:rsidR="006C0FFB" w:rsidRPr="00021080" w:rsidRDefault="006C0FFB" w:rsidP="00021080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</w:p>
          <w:p w14:paraId="57290B79" w14:textId="608BBCC2" w:rsidR="00303757" w:rsidRPr="00021080" w:rsidRDefault="006C0FFB" w:rsidP="00021080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Termin płatności wynosi 30 dni od dnia złożenia prawidłowo wystawionej faktury VAT.</w:t>
            </w:r>
          </w:p>
        </w:tc>
      </w:tr>
      <w:tr w:rsidR="006C0FFB" w:rsidRPr="00021080" w14:paraId="0D805F6A" w14:textId="77777777" w:rsidTr="00021080">
        <w:trPr>
          <w:trHeight w:val="533"/>
        </w:trPr>
        <w:tc>
          <w:tcPr>
            <w:tcW w:w="2205" w:type="dxa"/>
            <w:vAlign w:val="center"/>
          </w:tcPr>
          <w:p w14:paraId="0C99C5AB" w14:textId="3A103973" w:rsidR="00303757" w:rsidRPr="00021080" w:rsidRDefault="00303757" w:rsidP="00021080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</w:tc>
        <w:tc>
          <w:tcPr>
            <w:tcW w:w="8002" w:type="dxa"/>
            <w:gridSpan w:val="2"/>
            <w:vAlign w:val="center"/>
          </w:tcPr>
          <w:p w14:paraId="0240DD8F" w14:textId="196CA6E9" w:rsidR="00303757" w:rsidRPr="00021080" w:rsidRDefault="00021080" w:rsidP="00021080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Miejsce realizacji dostawy: ul. M.</w:t>
            </w:r>
            <w: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021080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Pożaryskiego 28, 04-703 Warszawa, budynek nr 20</w:t>
            </w:r>
            <w: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, </w:t>
            </w:r>
            <w:r w:rsidR="006C0FFB" w:rsidRPr="00021080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miejscu przeznaczenia</w:t>
            </w:r>
            <w: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6C0FFB" w:rsidRPr="00021080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wskazanym przez zamawiającego .</w:t>
            </w:r>
          </w:p>
        </w:tc>
      </w:tr>
      <w:tr w:rsidR="006C0FFB" w:rsidRPr="00021080" w14:paraId="55E4975C" w14:textId="77777777" w:rsidTr="00021080">
        <w:tc>
          <w:tcPr>
            <w:tcW w:w="2205" w:type="dxa"/>
            <w:vAlign w:val="center"/>
          </w:tcPr>
          <w:p w14:paraId="3BE4A651" w14:textId="6A6A2DD0" w:rsidR="006C0FFB" w:rsidRPr="00021080" w:rsidRDefault="00C6680C" w:rsidP="00021080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Verdana" w:hAnsi="Verdana" w:cstheme="minorHAnsi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Instruktaż</w:t>
            </w:r>
            <w:r w:rsidR="006C0FFB" w:rsidRPr="00021080">
              <w:rPr>
                <w:rFonts w:ascii="Verdana" w:hAnsi="Verdana" w:cstheme="minorHAnsi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z obsługi </w:t>
            </w:r>
          </w:p>
        </w:tc>
        <w:tc>
          <w:tcPr>
            <w:tcW w:w="8002" w:type="dxa"/>
            <w:gridSpan w:val="2"/>
            <w:vAlign w:val="center"/>
          </w:tcPr>
          <w:p w14:paraId="4DCD3E87" w14:textId="1360D017" w:rsidR="006C0FFB" w:rsidRPr="00021080" w:rsidRDefault="006C0FFB" w:rsidP="00021080">
            <w:p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262EC2">
              <w:t>TAK</w:t>
            </w:r>
            <w:r w:rsidR="00262EC2">
              <w:t>.</w:t>
            </w:r>
            <w:r w:rsidR="00906E3D">
              <w:t xml:space="preserve"> </w:t>
            </w:r>
            <w:r w:rsidR="00D16D5D" w:rsidRPr="00D16D5D">
              <w:rPr>
                <w:color w:val="FF0000"/>
              </w:rPr>
              <w:t>Przekazanie instruktażu w zakresie obsługi dla</w:t>
            </w:r>
            <w:r w:rsidR="00906E3D" w:rsidRPr="00D16D5D">
              <w:rPr>
                <w:color w:val="FF0000"/>
              </w:rPr>
              <w:t xml:space="preserve"> 6 osób </w:t>
            </w:r>
          </w:p>
        </w:tc>
      </w:tr>
      <w:tr w:rsidR="006C0FFB" w:rsidRPr="00021080" w14:paraId="40113619" w14:textId="77777777" w:rsidTr="00021080">
        <w:tc>
          <w:tcPr>
            <w:tcW w:w="2205" w:type="dxa"/>
            <w:vAlign w:val="center"/>
          </w:tcPr>
          <w:p w14:paraId="41548221" w14:textId="58542223" w:rsidR="006C0FFB" w:rsidRPr="00021080" w:rsidRDefault="006C0FFB" w:rsidP="00021080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  <w:vAlign w:val="center"/>
          </w:tcPr>
          <w:p w14:paraId="6210F844" w14:textId="22FC073D" w:rsidR="006C0FFB" w:rsidRPr="00021080" w:rsidRDefault="006C0FFB" w:rsidP="00021080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Odbiór przedmiotu zamówienia po dostawie urządzenia</w:t>
            </w:r>
            <w:r w:rsidR="000900C7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</w:t>
            </w:r>
            <w:r w:rsidR="000900C7" w:rsidRPr="000900C7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oraz potwierdzeniu </w:t>
            </w:r>
            <w:r w:rsidR="000900C7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realizacji instruktażu</w:t>
            </w:r>
            <w:r w:rsidRP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. Podstawą odbioru jest protokół odbioru podpisany przez Zamawiającego.  </w:t>
            </w:r>
          </w:p>
        </w:tc>
      </w:tr>
      <w:tr w:rsidR="006C0FFB" w:rsidRPr="00021080" w14:paraId="5F4BE238" w14:textId="77777777" w:rsidTr="00021080">
        <w:tc>
          <w:tcPr>
            <w:tcW w:w="2205" w:type="dxa"/>
            <w:vAlign w:val="center"/>
          </w:tcPr>
          <w:p w14:paraId="0BF2F3BC" w14:textId="77777777" w:rsidR="006C0FFB" w:rsidRPr="00021080" w:rsidRDefault="006C0FFB" w:rsidP="00021080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232769BD" w:rsidR="006C0FFB" w:rsidRPr="00021080" w:rsidRDefault="006C0FFB" w:rsidP="00021080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 </w:t>
            </w:r>
            <w:r w:rsid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021080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erwis</w:t>
            </w:r>
          </w:p>
        </w:tc>
        <w:tc>
          <w:tcPr>
            <w:tcW w:w="8002" w:type="dxa"/>
            <w:gridSpan w:val="2"/>
            <w:vAlign w:val="center"/>
          </w:tcPr>
          <w:p w14:paraId="741EDE87" w14:textId="0399F2FC" w:rsidR="006C0FFB" w:rsidRPr="00021080" w:rsidRDefault="006C0FFB" w:rsidP="00021080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Zamawiający wymaga gwarancji w okresie min. 24 m</w:t>
            </w:r>
            <w:r w:rsidR="00C6680C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iesiące (kryterium oceny ofert)</w:t>
            </w:r>
            <w:r w:rsidRPr="00021080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021080" w:rsidRDefault="00703BB6" w:rsidP="00021080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7D2798C" w14:textId="77777777" w:rsidR="00703BB6" w:rsidRPr="00021080" w:rsidRDefault="00703BB6" w:rsidP="00021080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35F385F" w14:textId="77777777" w:rsidR="00703BB6" w:rsidRPr="00021080" w:rsidRDefault="00703BB6" w:rsidP="00021080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</w:p>
    <w:p w14:paraId="32E209FD" w14:textId="2123BEE6" w:rsidR="00703BB6" w:rsidRPr="00021080" w:rsidRDefault="00703BB6" w:rsidP="00021080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021080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021080" w:rsidRDefault="00703BB6" w:rsidP="00021080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021080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021080" w:rsidRDefault="005F5930" w:rsidP="00021080">
      <w:pPr>
        <w:spacing w:after="0" w:line="240" w:lineRule="auto"/>
        <w:rPr>
          <w:rFonts w:ascii="Verdana" w:eastAsia="Times New Roman" w:hAnsi="Verdana" w:cs="Arial"/>
          <w:b/>
          <w:bCs/>
          <w:color w:val="FF0000"/>
          <w:sz w:val="18"/>
          <w:szCs w:val="18"/>
          <w:highlight w:val="yellow"/>
          <w:lang w:eastAsia="pl-PL"/>
        </w:rPr>
      </w:pPr>
    </w:p>
    <w:sectPr w:rsidR="005F5930" w:rsidRPr="00021080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79F2C" w14:textId="77777777" w:rsidR="00B156A4" w:rsidRDefault="00B156A4" w:rsidP="00D61B66">
      <w:pPr>
        <w:spacing w:after="0" w:line="240" w:lineRule="auto"/>
      </w:pPr>
      <w:r>
        <w:separator/>
      </w:r>
    </w:p>
  </w:endnote>
  <w:endnote w:type="continuationSeparator" w:id="0">
    <w:p w14:paraId="24FD09B9" w14:textId="77777777" w:rsidR="00B156A4" w:rsidRDefault="00B156A4" w:rsidP="00D61B66">
      <w:pPr>
        <w:spacing w:after="0" w:line="240" w:lineRule="auto"/>
      </w:pPr>
      <w:r>
        <w:continuationSeparator/>
      </w:r>
    </w:p>
  </w:endnote>
  <w:endnote w:type="continuationNotice" w:id="1">
    <w:p w14:paraId="0B37CC5A" w14:textId="77777777" w:rsidR="00B156A4" w:rsidRDefault="00B156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F71CB" w14:textId="77777777" w:rsidR="000029E0" w:rsidRDefault="000029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54A8" w14:textId="77777777" w:rsidR="000029E0" w:rsidRDefault="00002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BA191" w14:textId="77777777" w:rsidR="00B156A4" w:rsidRDefault="00B156A4" w:rsidP="00D61B66">
      <w:pPr>
        <w:spacing w:after="0" w:line="240" w:lineRule="auto"/>
      </w:pPr>
      <w:r>
        <w:separator/>
      </w:r>
    </w:p>
  </w:footnote>
  <w:footnote w:type="continuationSeparator" w:id="0">
    <w:p w14:paraId="59EA6957" w14:textId="77777777" w:rsidR="00B156A4" w:rsidRDefault="00B156A4" w:rsidP="00D61B66">
      <w:pPr>
        <w:spacing w:after="0" w:line="240" w:lineRule="auto"/>
      </w:pPr>
      <w:r>
        <w:continuationSeparator/>
      </w:r>
    </w:p>
  </w:footnote>
  <w:footnote w:type="continuationNotice" w:id="1">
    <w:p w14:paraId="4C301EEB" w14:textId="77777777" w:rsidR="00B156A4" w:rsidRDefault="00B156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5666" w14:textId="77777777" w:rsidR="000029E0" w:rsidRDefault="000029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784682C3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0029E0" w:rsidRPr="000029E0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 </w:t>
    </w:r>
    <w:r w:rsidR="004B57A2" w:rsidRPr="00175491">
      <w:rPr>
        <w:rFonts w:ascii="Verdana" w:hAnsi="Verdana"/>
        <w:sz w:val="18"/>
        <w:szCs w:val="18"/>
      </w:rPr>
      <w:t xml:space="preserve">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3F6286">
      <w:rPr>
        <w:rFonts w:ascii="Verdana" w:hAnsi="Verdana"/>
        <w:sz w:val="18"/>
        <w:szCs w:val="18"/>
      </w:rPr>
      <w:t>.</w:t>
    </w:r>
    <w:r w:rsidR="00BF5847">
      <w:rPr>
        <w:rFonts w:ascii="Verdana" w:hAnsi="Verdana"/>
        <w:sz w:val="18"/>
        <w:szCs w:val="18"/>
      </w:rPr>
      <w:t>7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62D6" w14:textId="77777777" w:rsidR="000029E0" w:rsidRDefault="000029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866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90347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67D2C"/>
    <w:multiLevelType w:val="hybridMultilevel"/>
    <w:tmpl w:val="4156D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029E0"/>
    <w:rsid w:val="00002F67"/>
    <w:rsid w:val="00013D58"/>
    <w:rsid w:val="00021080"/>
    <w:rsid w:val="000232E4"/>
    <w:rsid w:val="00026201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900C7"/>
    <w:rsid w:val="0009175F"/>
    <w:rsid w:val="00091B53"/>
    <w:rsid w:val="000945C8"/>
    <w:rsid w:val="00096880"/>
    <w:rsid w:val="000A4E71"/>
    <w:rsid w:val="000A59B9"/>
    <w:rsid w:val="000B460B"/>
    <w:rsid w:val="000C1B02"/>
    <w:rsid w:val="000C1C5E"/>
    <w:rsid w:val="000C68EA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44CB6"/>
    <w:rsid w:val="001455F6"/>
    <w:rsid w:val="00146492"/>
    <w:rsid w:val="00153553"/>
    <w:rsid w:val="00161C5A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79F0"/>
    <w:rsid w:val="0024556D"/>
    <w:rsid w:val="00256429"/>
    <w:rsid w:val="0025646A"/>
    <w:rsid w:val="00257E32"/>
    <w:rsid w:val="00262EC2"/>
    <w:rsid w:val="00265D7D"/>
    <w:rsid w:val="002703C6"/>
    <w:rsid w:val="00274490"/>
    <w:rsid w:val="002804CD"/>
    <w:rsid w:val="00280AB1"/>
    <w:rsid w:val="0028111B"/>
    <w:rsid w:val="002811E3"/>
    <w:rsid w:val="00282D59"/>
    <w:rsid w:val="002831E9"/>
    <w:rsid w:val="002840BE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2E66"/>
    <w:rsid w:val="002C3F53"/>
    <w:rsid w:val="002D3107"/>
    <w:rsid w:val="002D38DD"/>
    <w:rsid w:val="002D4F48"/>
    <w:rsid w:val="002D6467"/>
    <w:rsid w:val="002D7E0B"/>
    <w:rsid w:val="002E2895"/>
    <w:rsid w:val="002E73F1"/>
    <w:rsid w:val="00302C8F"/>
    <w:rsid w:val="00303757"/>
    <w:rsid w:val="003113A5"/>
    <w:rsid w:val="00311E57"/>
    <w:rsid w:val="003217B9"/>
    <w:rsid w:val="003302E3"/>
    <w:rsid w:val="00330AA5"/>
    <w:rsid w:val="00335D4C"/>
    <w:rsid w:val="00336841"/>
    <w:rsid w:val="003374F1"/>
    <w:rsid w:val="00340E36"/>
    <w:rsid w:val="003444E7"/>
    <w:rsid w:val="003454AE"/>
    <w:rsid w:val="00345CA6"/>
    <w:rsid w:val="00347C56"/>
    <w:rsid w:val="00353204"/>
    <w:rsid w:val="0036293F"/>
    <w:rsid w:val="0036524F"/>
    <w:rsid w:val="003737FE"/>
    <w:rsid w:val="003811B4"/>
    <w:rsid w:val="003836E0"/>
    <w:rsid w:val="003845EC"/>
    <w:rsid w:val="00384785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3F6286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6B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63716"/>
    <w:rsid w:val="0049019F"/>
    <w:rsid w:val="004B336D"/>
    <w:rsid w:val="004B57A2"/>
    <w:rsid w:val="004C05B1"/>
    <w:rsid w:val="004C3250"/>
    <w:rsid w:val="004C6961"/>
    <w:rsid w:val="004C700F"/>
    <w:rsid w:val="004C7CE1"/>
    <w:rsid w:val="004D20C7"/>
    <w:rsid w:val="004F2CBD"/>
    <w:rsid w:val="004F47A9"/>
    <w:rsid w:val="004F60FC"/>
    <w:rsid w:val="00511A5A"/>
    <w:rsid w:val="005120BE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805C6"/>
    <w:rsid w:val="005828BF"/>
    <w:rsid w:val="005837C4"/>
    <w:rsid w:val="00583B34"/>
    <w:rsid w:val="00590F5B"/>
    <w:rsid w:val="005930D5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3161"/>
    <w:rsid w:val="005E3AF1"/>
    <w:rsid w:val="005E4C38"/>
    <w:rsid w:val="005F4DA8"/>
    <w:rsid w:val="005F5930"/>
    <w:rsid w:val="005F6841"/>
    <w:rsid w:val="0060009F"/>
    <w:rsid w:val="006001A0"/>
    <w:rsid w:val="00604551"/>
    <w:rsid w:val="00610639"/>
    <w:rsid w:val="00610C47"/>
    <w:rsid w:val="00614DA8"/>
    <w:rsid w:val="0061583E"/>
    <w:rsid w:val="00627479"/>
    <w:rsid w:val="00630585"/>
    <w:rsid w:val="0063799B"/>
    <w:rsid w:val="00640369"/>
    <w:rsid w:val="0065537F"/>
    <w:rsid w:val="00660B4A"/>
    <w:rsid w:val="0067C5E1"/>
    <w:rsid w:val="00680147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0FFB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22FA7"/>
    <w:rsid w:val="00724127"/>
    <w:rsid w:val="00761A29"/>
    <w:rsid w:val="00763188"/>
    <w:rsid w:val="00766D30"/>
    <w:rsid w:val="007705BC"/>
    <w:rsid w:val="0077549C"/>
    <w:rsid w:val="00792BD4"/>
    <w:rsid w:val="00793D53"/>
    <w:rsid w:val="00797851"/>
    <w:rsid w:val="007A14DF"/>
    <w:rsid w:val="007A6D84"/>
    <w:rsid w:val="007D6182"/>
    <w:rsid w:val="007E4803"/>
    <w:rsid w:val="007E4B3E"/>
    <w:rsid w:val="007E66C6"/>
    <w:rsid w:val="007F0CE4"/>
    <w:rsid w:val="007F5A83"/>
    <w:rsid w:val="008015CC"/>
    <w:rsid w:val="00803161"/>
    <w:rsid w:val="008109FB"/>
    <w:rsid w:val="00813327"/>
    <w:rsid w:val="0081424E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85371"/>
    <w:rsid w:val="008939C7"/>
    <w:rsid w:val="0089405A"/>
    <w:rsid w:val="00895ED2"/>
    <w:rsid w:val="008A1D2B"/>
    <w:rsid w:val="008A26A1"/>
    <w:rsid w:val="008A5915"/>
    <w:rsid w:val="008A6025"/>
    <w:rsid w:val="008A7AEF"/>
    <w:rsid w:val="008B0716"/>
    <w:rsid w:val="008C4451"/>
    <w:rsid w:val="008C6533"/>
    <w:rsid w:val="008D0D93"/>
    <w:rsid w:val="008E3432"/>
    <w:rsid w:val="008F17D2"/>
    <w:rsid w:val="008F233B"/>
    <w:rsid w:val="009014C9"/>
    <w:rsid w:val="00901920"/>
    <w:rsid w:val="00902160"/>
    <w:rsid w:val="0090484B"/>
    <w:rsid w:val="00906E3D"/>
    <w:rsid w:val="00913B9A"/>
    <w:rsid w:val="00923305"/>
    <w:rsid w:val="00926D6C"/>
    <w:rsid w:val="00926FF8"/>
    <w:rsid w:val="0093298A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A0317"/>
    <w:rsid w:val="009A0F05"/>
    <w:rsid w:val="009A6D4D"/>
    <w:rsid w:val="009B372C"/>
    <w:rsid w:val="009B7956"/>
    <w:rsid w:val="009D67A5"/>
    <w:rsid w:val="009D713E"/>
    <w:rsid w:val="009D7BCB"/>
    <w:rsid w:val="009F236B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312F"/>
    <w:rsid w:val="00A75B38"/>
    <w:rsid w:val="00A82D5E"/>
    <w:rsid w:val="00A9105D"/>
    <w:rsid w:val="00A949E3"/>
    <w:rsid w:val="00A94ADA"/>
    <w:rsid w:val="00A97488"/>
    <w:rsid w:val="00A97838"/>
    <w:rsid w:val="00AA4016"/>
    <w:rsid w:val="00AA62AE"/>
    <w:rsid w:val="00AB479B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AF42D9"/>
    <w:rsid w:val="00B0372A"/>
    <w:rsid w:val="00B07AE8"/>
    <w:rsid w:val="00B156A4"/>
    <w:rsid w:val="00B2097D"/>
    <w:rsid w:val="00B253CD"/>
    <w:rsid w:val="00B36CB1"/>
    <w:rsid w:val="00B42507"/>
    <w:rsid w:val="00B52BCA"/>
    <w:rsid w:val="00B54657"/>
    <w:rsid w:val="00B57F4F"/>
    <w:rsid w:val="00B75002"/>
    <w:rsid w:val="00B7692B"/>
    <w:rsid w:val="00B81508"/>
    <w:rsid w:val="00B8702A"/>
    <w:rsid w:val="00B934DD"/>
    <w:rsid w:val="00B970D7"/>
    <w:rsid w:val="00BA0550"/>
    <w:rsid w:val="00BA0F78"/>
    <w:rsid w:val="00BB2EB6"/>
    <w:rsid w:val="00BB3F97"/>
    <w:rsid w:val="00BB5FEE"/>
    <w:rsid w:val="00BC7017"/>
    <w:rsid w:val="00BC7A79"/>
    <w:rsid w:val="00BD1DFD"/>
    <w:rsid w:val="00BD3CBA"/>
    <w:rsid w:val="00BE08E5"/>
    <w:rsid w:val="00BE14C0"/>
    <w:rsid w:val="00BE4302"/>
    <w:rsid w:val="00BE7542"/>
    <w:rsid w:val="00BE7646"/>
    <w:rsid w:val="00BF5847"/>
    <w:rsid w:val="00BF7144"/>
    <w:rsid w:val="00C001FD"/>
    <w:rsid w:val="00C01F0D"/>
    <w:rsid w:val="00C312F4"/>
    <w:rsid w:val="00C32FF1"/>
    <w:rsid w:val="00C338A1"/>
    <w:rsid w:val="00C3670D"/>
    <w:rsid w:val="00C4150E"/>
    <w:rsid w:val="00C42E3F"/>
    <w:rsid w:val="00C473BD"/>
    <w:rsid w:val="00C635AF"/>
    <w:rsid w:val="00C6454B"/>
    <w:rsid w:val="00C6680C"/>
    <w:rsid w:val="00C679A9"/>
    <w:rsid w:val="00C71BCE"/>
    <w:rsid w:val="00C73ED7"/>
    <w:rsid w:val="00CA3473"/>
    <w:rsid w:val="00CA56A5"/>
    <w:rsid w:val="00CB21EA"/>
    <w:rsid w:val="00CB376F"/>
    <w:rsid w:val="00CB4455"/>
    <w:rsid w:val="00CC6908"/>
    <w:rsid w:val="00CC7CBA"/>
    <w:rsid w:val="00CE7B9D"/>
    <w:rsid w:val="00CF1D6F"/>
    <w:rsid w:val="00CF27C0"/>
    <w:rsid w:val="00CF7FED"/>
    <w:rsid w:val="00D00F8C"/>
    <w:rsid w:val="00D13B2E"/>
    <w:rsid w:val="00D164C5"/>
    <w:rsid w:val="00D16D5D"/>
    <w:rsid w:val="00D41AE4"/>
    <w:rsid w:val="00D43594"/>
    <w:rsid w:val="00D50733"/>
    <w:rsid w:val="00D52A5D"/>
    <w:rsid w:val="00D541B6"/>
    <w:rsid w:val="00D61B66"/>
    <w:rsid w:val="00D720F5"/>
    <w:rsid w:val="00D72F05"/>
    <w:rsid w:val="00D77C98"/>
    <w:rsid w:val="00D820B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66D0"/>
    <w:rsid w:val="00DF7B47"/>
    <w:rsid w:val="00E07573"/>
    <w:rsid w:val="00E12E0F"/>
    <w:rsid w:val="00E15F92"/>
    <w:rsid w:val="00E16A46"/>
    <w:rsid w:val="00E173BA"/>
    <w:rsid w:val="00E22AE4"/>
    <w:rsid w:val="00E26F2B"/>
    <w:rsid w:val="00E27E2C"/>
    <w:rsid w:val="00E311CF"/>
    <w:rsid w:val="00E32050"/>
    <w:rsid w:val="00E36FC7"/>
    <w:rsid w:val="00E449FA"/>
    <w:rsid w:val="00E44F23"/>
    <w:rsid w:val="00E51330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C40E7"/>
    <w:rsid w:val="00EC4859"/>
    <w:rsid w:val="00EC5B9D"/>
    <w:rsid w:val="00ED3EE5"/>
    <w:rsid w:val="00ED7335"/>
    <w:rsid w:val="00EE250A"/>
    <w:rsid w:val="00EE2D9B"/>
    <w:rsid w:val="00EF46D0"/>
    <w:rsid w:val="00EF5C0C"/>
    <w:rsid w:val="00EF67C1"/>
    <w:rsid w:val="00F203A0"/>
    <w:rsid w:val="00F26766"/>
    <w:rsid w:val="00F313C2"/>
    <w:rsid w:val="00F34BBA"/>
    <w:rsid w:val="00F46E53"/>
    <w:rsid w:val="00F50AC6"/>
    <w:rsid w:val="00F62279"/>
    <w:rsid w:val="00F7058E"/>
    <w:rsid w:val="00F7580D"/>
    <w:rsid w:val="00F811F7"/>
    <w:rsid w:val="00F82235"/>
    <w:rsid w:val="00F84F87"/>
    <w:rsid w:val="00F85064"/>
    <w:rsid w:val="00F915F3"/>
    <w:rsid w:val="00F94708"/>
    <w:rsid w:val="00F97B18"/>
    <w:rsid w:val="00FA099D"/>
    <w:rsid w:val="00FA46AE"/>
    <w:rsid w:val="00FA527F"/>
    <w:rsid w:val="00FA5D07"/>
    <w:rsid w:val="00FA75EA"/>
    <w:rsid w:val="00FB4DB6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0F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0FFB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9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2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57890-BD54-0E44-96D0-56FEBB3A2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13</cp:revision>
  <cp:lastPrinted>2024-03-11T07:43:00Z</cp:lastPrinted>
  <dcterms:created xsi:type="dcterms:W3CDTF">2025-03-18T13:01:00Z</dcterms:created>
  <dcterms:modified xsi:type="dcterms:W3CDTF">2025-04-07T07:47:00Z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