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268A" w14:textId="1B960D75" w:rsidR="005157FA" w:rsidRPr="0017120D" w:rsidRDefault="005157FA" w:rsidP="005157FA">
      <w:pPr>
        <w:tabs>
          <w:tab w:val="left" w:pos="6237"/>
        </w:tabs>
        <w:spacing w:before="120" w:after="0"/>
        <w:rPr>
          <w:rFonts w:cs="Calibri"/>
          <w:noProof/>
        </w:rPr>
      </w:pPr>
      <w:r w:rsidRPr="0017120D">
        <w:rPr>
          <w:rFonts w:cs="Calibri"/>
          <w:color w:val="000000"/>
        </w:rPr>
        <w:t>DO.WAL.26.ZP.</w:t>
      </w:r>
      <w:r>
        <w:rPr>
          <w:rFonts w:cs="Calibri"/>
          <w:color w:val="000000"/>
        </w:rPr>
        <w:t>15</w:t>
      </w:r>
      <w:r w:rsidRPr="0017120D">
        <w:rPr>
          <w:rFonts w:cs="Calibri"/>
          <w:color w:val="000000"/>
        </w:rPr>
        <w:t>.24.PZ.202</w:t>
      </w:r>
      <w:r>
        <w:rPr>
          <w:rFonts w:cs="Calibri"/>
          <w:color w:val="000000"/>
        </w:rPr>
        <w:t>5</w:t>
      </w:r>
      <w:r w:rsidRPr="0017120D">
        <w:rPr>
          <w:rFonts w:cs="Calibri"/>
          <w:color w:val="000000"/>
        </w:rPr>
        <w:t>.</w:t>
      </w:r>
      <w:r>
        <w:rPr>
          <w:rFonts w:cs="Calibri"/>
          <w:color w:val="000000"/>
        </w:rPr>
        <w:t>1</w:t>
      </w:r>
      <w:r w:rsidRPr="0017120D">
        <w:rPr>
          <w:rFonts w:cs="Calibri"/>
        </w:rPr>
        <w:tab/>
        <w:t xml:space="preserve">Warszawa, </w:t>
      </w:r>
      <w:r>
        <w:rPr>
          <w:rFonts w:cs="Calibri"/>
        </w:rPr>
        <w:t>2</w:t>
      </w:r>
      <w:r w:rsidR="00D23B7D">
        <w:rPr>
          <w:rFonts w:cs="Calibri"/>
        </w:rPr>
        <w:t>7</w:t>
      </w:r>
      <w:r w:rsidRPr="0017120D">
        <w:rPr>
          <w:rFonts w:cs="Calibri"/>
        </w:rPr>
        <w:t>.</w:t>
      </w:r>
      <w:r>
        <w:rPr>
          <w:rFonts w:cs="Calibri"/>
        </w:rPr>
        <w:t>02</w:t>
      </w:r>
      <w:r w:rsidRPr="0017120D">
        <w:rPr>
          <w:rFonts w:cs="Calibri"/>
        </w:rPr>
        <w:t>.202</w:t>
      </w:r>
      <w:r>
        <w:rPr>
          <w:rFonts w:cs="Calibri"/>
        </w:rPr>
        <w:t>5</w:t>
      </w:r>
      <w:r w:rsidRPr="0017120D">
        <w:rPr>
          <w:rFonts w:cs="Calibri"/>
        </w:rPr>
        <w:t xml:space="preserve"> r.</w:t>
      </w:r>
    </w:p>
    <w:p w14:paraId="2A72E931" w14:textId="4F43AD49" w:rsidR="00277087" w:rsidRPr="005157FA" w:rsidRDefault="00FB5D68" w:rsidP="004C2B5B">
      <w:pPr>
        <w:spacing w:before="360" w:after="240"/>
        <w:ind w:left="5103"/>
        <w:rPr>
          <w:sz w:val="28"/>
          <w:szCs w:val="28"/>
        </w:rPr>
      </w:pPr>
      <w:bookmarkStart w:id="0" w:name="_Hlk137041648"/>
      <w:r w:rsidRPr="005157FA">
        <w:rPr>
          <w:b/>
          <w:bCs/>
          <w:sz w:val="28"/>
          <w:szCs w:val="28"/>
        </w:rPr>
        <w:t>Wszyscy Wykonawcy</w:t>
      </w:r>
    </w:p>
    <w:bookmarkEnd w:id="0"/>
    <w:p w14:paraId="1568B4ED" w14:textId="44FD64AB" w:rsidR="00277087" w:rsidRPr="00065135" w:rsidRDefault="00FB5D68" w:rsidP="006525CE">
      <w:pPr>
        <w:pStyle w:val="Nagwek1"/>
      </w:pPr>
      <w:r w:rsidRPr="00FB5D68">
        <w:t>dotyczy: postępowania pn. „</w:t>
      </w:r>
      <w:r w:rsidR="005157FA" w:rsidRPr="00CC378B">
        <w:t xml:space="preserve">Usługa Asysty Technicznej </w:t>
      </w:r>
      <w:r w:rsidR="005157FA">
        <w:br/>
      </w:r>
      <w:r w:rsidR="005157FA" w:rsidRPr="00CC378B">
        <w:t xml:space="preserve">i Konserwacji, modyfikacje i rozwój oraz dostosowanie do wymagań zgodnych z WCAG systemu </w:t>
      </w:r>
      <w:proofErr w:type="spellStart"/>
      <w:r w:rsidR="005157FA" w:rsidRPr="00CC378B">
        <w:t>Pwind</w:t>
      </w:r>
      <w:proofErr w:type="spellEnd"/>
      <w:r w:rsidR="005157FA" w:rsidRPr="00CC378B">
        <w:t xml:space="preserve"> wspierającego procesy windykacyjne</w:t>
      </w:r>
      <w:r w:rsidRPr="00FB5D68">
        <w:t>” – numer sprawy ZP/</w:t>
      </w:r>
      <w:r w:rsidR="00B6273A">
        <w:t>1</w:t>
      </w:r>
      <w:r w:rsidR="005157FA">
        <w:t>5</w:t>
      </w:r>
      <w:r w:rsidRPr="00FB5D68">
        <w:t>/24.</w:t>
      </w:r>
    </w:p>
    <w:p w14:paraId="6CF19D72" w14:textId="094912A2" w:rsidR="00277087" w:rsidRPr="00065135" w:rsidRDefault="00FB5D68" w:rsidP="008D2F1F">
      <w:r w:rsidRPr="00FB5D68">
        <w:t>Uprzejmie informujemy, że do Zamawiającego wpłynął wniosek o wyjaśnienie treści Specyfikacji Warunków Zamówienia, zwanej dalej „SWZ” w postępowaniu prowadzonym w</w:t>
      </w:r>
      <w:r w:rsidR="00C03B24">
        <w:t> </w:t>
      </w:r>
      <w:r w:rsidRPr="00FB5D68">
        <w:t>trybie przetargu nieograniczonego na „</w:t>
      </w:r>
      <w:r w:rsidR="005157FA" w:rsidRPr="00CC378B">
        <w:t>Usług</w:t>
      </w:r>
      <w:r w:rsidR="005157FA">
        <w:t>ę</w:t>
      </w:r>
      <w:r w:rsidR="005157FA" w:rsidRPr="00CC378B">
        <w:t xml:space="preserve"> Asysty Technicznej i Konserwacji, modyfikacje i rozwój oraz dostosowanie do wymagań zgodnych z WCAG systemu </w:t>
      </w:r>
      <w:proofErr w:type="spellStart"/>
      <w:r w:rsidR="005157FA" w:rsidRPr="00CC378B">
        <w:t>Pwind</w:t>
      </w:r>
      <w:proofErr w:type="spellEnd"/>
      <w:r w:rsidR="005157FA" w:rsidRPr="00CC378B">
        <w:t xml:space="preserve"> wspierającego procesy windykacyjne</w:t>
      </w:r>
      <w:r w:rsidRPr="00FB5D68">
        <w:t>”. Zamawiający przekazuje treść pytań wraz z</w:t>
      </w:r>
      <w:r w:rsidR="00B6273A">
        <w:t> </w:t>
      </w:r>
      <w:r w:rsidRPr="00FB5D68">
        <w:t>wyjaśnieniami:</w:t>
      </w:r>
    </w:p>
    <w:p w14:paraId="0C3204D8" w14:textId="276379B9" w:rsidR="00277087" w:rsidRPr="00065135" w:rsidRDefault="00FB5D68" w:rsidP="002A0122">
      <w:pPr>
        <w:pStyle w:val="Nagwek2"/>
      </w:pPr>
      <w:r w:rsidRPr="00FB5D68">
        <w:t>Pytanie 1:</w:t>
      </w:r>
    </w:p>
    <w:p w14:paraId="65613199" w14:textId="77777777" w:rsidR="00DD4CCC" w:rsidRPr="00DD4CCC" w:rsidRDefault="00DD4CCC" w:rsidP="004C2B5B">
      <w:pPr>
        <w:autoSpaceDE w:val="0"/>
        <w:autoSpaceDN w:val="0"/>
        <w:adjustRightInd w:val="0"/>
        <w:spacing w:after="0"/>
        <w:rPr>
          <w:rFonts w:eastAsia="Calibri" w:cs="Calibri"/>
          <w14:ligatures w14:val="standardContextual"/>
        </w:rPr>
      </w:pPr>
      <w:r w:rsidRPr="00DD4CCC">
        <w:rPr>
          <w:rFonts w:eastAsia="Calibri" w:cs="Calibri"/>
          <w14:ligatures w14:val="standardContextual"/>
        </w:rPr>
        <w:t>Dotyczy Rozdział X SWZ Wymagania dotyczące próbki:</w:t>
      </w:r>
    </w:p>
    <w:p w14:paraId="5CB89C10" w14:textId="77777777" w:rsidR="00DD4CCC" w:rsidRPr="00DD4CCC" w:rsidRDefault="00DD4CCC" w:rsidP="004C2B5B">
      <w:pPr>
        <w:autoSpaceDE w:val="0"/>
        <w:autoSpaceDN w:val="0"/>
        <w:adjustRightInd w:val="0"/>
        <w:spacing w:after="0"/>
        <w:rPr>
          <w:rFonts w:eastAsia="Calibri" w:cs="Calibri"/>
          <w14:ligatures w14:val="standardContextual"/>
        </w:rPr>
      </w:pPr>
      <w:r w:rsidRPr="00DD4CCC">
        <w:rPr>
          <w:rFonts w:eastAsia="Calibri" w:cs="Calibri"/>
          <w14:ligatures w14:val="standardContextual"/>
        </w:rPr>
        <w:t>pkt 26. Jeżeli wpłata zawiera opłatę komorniczą, to do rozliczenia zadłużenia w aplikacji przyjmujemy całkowitą kwotę wpłaty (łącznie z opłatą komorniczą).</w:t>
      </w:r>
    </w:p>
    <w:p w14:paraId="75F091A1" w14:textId="3147F7B7" w:rsidR="00277087" w:rsidRPr="00065135" w:rsidRDefault="00DD4CCC" w:rsidP="004C2B5B">
      <w:pPr>
        <w:spacing w:after="0"/>
      </w:pPr>
      <w:r w:rsidRPr="00DD4CCC">
        <w:rPr>
          <w:rFonts w:eastAsia="Calibri" w:cs="Calibri"/>
          <w14:ligatures w14:val="standardContextual"/>
        </w:rPr>
        <w:t>Jeżeli wpłata przekracza koszty zwiększające zadłużenie, kapitał początkowy i odsetki to jak rozliczyć pozostałą kwotę</w:t>
      </w:r>
      <w:r w:rsidR="00B6273A">
        <w:t>?</w:t>
      </w:r>
    </w:p>
    <w:p w14:paraId="290FD26A" w14:textId="091B50AC" w:rsidR="00277087" w:rsidRPr="00065135" w:rsidRDefault="00FB5D68" w:rsidP="002A0122">
      <w:pPr>
        <w:pStyle w:val="Nagwek3"/>
      </w:pPr>
      <w:r w:rsidRPr="00FB5D68">
        <w:t>Odpowiedź:</w:t>
      </w:r>
    </w:p>
    <w:p w14:paraId="5F07E8F9" w14:textId="66E413A4" w:rsidR="00277087" w:rsidRPr="00065135" w:rsidRDefault="004C2B5B" w:rsidP="008D2F1F">
      <w:r w:rsidRPr="004C2B5B">
        <w:rPr>
          <w:rFonts w:eastAsia="Calibri" w:cs="Calibri"/>
          <w14:ligatures w14:val="standardContextual"/>
        </w:rPr>
        <w:t>Pozostała kwota pozostaje nierozliczona, traktowana jest jako nadpłata</w:t>
      </w:r>
      <w:r w:rsidR="00CD3F5D">
        <w:t>.</w:t>
      </w:r>
    </w:p>
    <w:p w14:paraId="4D8188B3" w14:textId="02285FB7" w:rsidR="00277087" w:rsidRPr="00065135" w:rsidRDefault="00FB5D68" w:rsidP="002A0122">
      <w:pPr>
        <w:pStyle w:val="Nagwek2"/>
      </w:pPr>
      <w:r w:rsidRPr="00FB5D68">
        <w:t>Pytanie 2:</w:t>
      </w:r>
    </w:p>
    <w:p w14:paraId="5D5562AD" w14:textId="77777777" w:rsidR="004C2B5B" w:rsidRPr="004C2B5B" w:rsidRDefault="004C2B5B" w:rsidP="004C2B5B">
      <w:pPr>
        <w:autoSpaceDE w:val="0"/>
        <w:autoSpaceDN w:val="0"/>
        <w:adjustRightInd w:val="0"/>
        <w:spacing w:after="0"/>
        <w:rPr>
          <w:rFonts w:eastAsia="Calibri" w:cs="Calibri"/>
          <w14:ligatures w14:val="standardContextual"/>
        </w:rPr>
      </w:pPr>
      <w:r w:rsidRPr="004C2B5B">
        <w:rPr>
          <w:rFonts w:eastAsia="Calibri" w:cs="Calibri"/>
          <w14:ligatures w14:val="standardContextual"/>
        </w:rPr>
        <w:t>Dotyczy Rozdział X SWZ Wymagania dotyczące próbki:</w:t>
      </w:r>
    </w:p>
    <w:p w14:paraId="2FB7707F" w14:textId="77777777" w:rsidR="004C2B5B" w:rsidRPr="004C2B5B" w:rsidRDefault="004C2B5B" w:rsidP="004C2B5B">
      <w:pPr>
        <w:autoSpaceDE w:val="0"/>
        <w:autoSpaceDN w:val="0"/>
        <w:adjustRightInd w:val="0"/>
        <w:spacing w:after="0"/>
        <w:rPr>
          <w:rFonts w:eastAsia="Calibri" w:cs="Calibri"/>
          <w14:ligatures w14:val="standardContextual"/>
        </w:rPr>
      </w:pPr>
      <w:r w:rsidRPr="004C2B5B">
        <w:rPr>
          <w:rFonts w:eastAsia="Calibri" w:cs="Calibri"/>
          <w14:ligatures w14:val="standardContextual"/>
        </w:rPr>
        <w:t>pkt 30. Usunięcie rozliczenia (ostatnie rozliczenie, nie można usuwać rozliczenia wcześniejszego).</w:t>
      </w:r>
    </w:p>
    <w:p w14:paraId="7D66189C" w14:textId="2B639653" w:rsidR="00277087" w:rsidRPr="00065135" w:rsidRDefault="004C2B5B" w:rsidP="004C2B5B">
      <w:pPr>
        <w:spacing w:after="0"/>
      </w:pPr>
      <w:r w:rsidRPr="004C2B5B">
        <w:rPr>
          <w:rFonts w:eastAsia="Calibri" w:cs="Calibri"/>
          <w14:ligatures w14:val="standardContextual"/>
        </w:rPr>
        <w:t>Jeżeli na dane zadłużenie zostały zaksięgowane dwie wpłaty a następnie pojawi się wpłata</w:t>
      </w:r>
      <w:r w:rsidRPr="004C2B5B">
        <w:rPr>
          <w:rFonts w:eastAsia="Calibri" w:cs="Calibri"/>
          <w14:ligatures w14:val="standardContextual"/>
        </w:rPr>
        <w:br/>
        <w:t>z terminem wpłaty wcześniejszym niż już zaksięgowane wpłaty to w związku z brakiem możliwości zmiany więcej niż jednego rozliczenia jak ma zostać rozliczona ta nowa wpłata</w:t>
      </w:r>
      <w:r w:rsidR="00B6273A">
        <w:t>?</w:t>
      </w:r>
    </w:p>
    <w:p w14:paraId="50CB13DA" w14:textId="33725744" w:rsidR="00277087" w:rsidRDefault="00277087" w:rsidP="001823DF">
      <w:pPr>
        <w:pStyle w:val="Nagwek3"/>
      </w:pPr>
      <w:r w:rsidRPr="00277087">
        <w:t>Odpowiedź:</w:t>
      </w:r>
    </w:p>
    <w:p w14:paraId="5CCC8EC6" w14:textId="2D0A7478" w:rsidR="004C2B5B" w:rsidRDefault="004C2B5B" w:rsidP="004C2B5B">
      <w:pPr>
        <w:autoSpaceDE w:val="0"/>
        <w:autoSpaceDN w:val="0"/>
        <w:adjustRightInd w:val="0"/>
        <w:spacing w:after="0"/>
        <w:rPr>
          <w:rFonts w:eastAsia="Calibri" w:cs="Calibri"/>
          <w14:ligatures w14:val="standardContextual"/>
        </w:rPr>
      </w:pPr>
      <w:r w:rsidRPr="004C2B5B">
        <w:rPr>
          <w:rFonts w:eastAsia="Calibri" w:cs="Calibri"/>
          <w14:ligatures w14:val="standardContextual"/>
        </w:rPr>
        <w:t>Można zmieniać dowolną liczbę rozliczeń, zasada jest taka, że rozliczenia zmieniamy od ostatniego.</w:t>
      </w:r>
    </w:p>
    <w:p w14:paraId="005F952A" w14:textId="160BC68B" w:rsidR="004C2B5B" w:rsidRPr="004C2B5B" w:rsidRDefault="004C2B5B" w:rsidP="001823DF">
      <w:pPr>
        <w:autoSpaceDE w:val="0"/>
        <w:autoSpaceDN w:val="0"/>
        <w:adjustRightInd w:val="0"/>
        <w:spacing w:before="120" w:after="0"/>
        <w:rPr>
          <w:rFonts w:eastAsia="Calibri" w:cs="Calibri"/>
          <w14:ligatures w14:val="standardContextual"/>
        </w:rPr>
      </w:pPr>
      <w:r w:rsidRPr="004C2B5B">
        <w:rPr>
          <w:rFonts w:eastAsia="Calibri" w:cs="Calibri"/>
          <w14:ligatures w14:val="standardContextual"/>
        </w:rPr>
        <w:lastRenderedPageBreak/>
        <w:t>Przykład:</w:t>
      </w:r>
    </w:p>
    <w:p w14:paraId="6DEA1DB5" w14:textId="77777777" w:rsidR="004C2B5B" w:rsidRPr="004C2B5B" w:rsidRDefault="004C2B5B" w:rsidP="004C2B5B">
      <w:pPr>
        <w:autoSpaceDE w:val="0"/>
        <w:autoSpaceDN w:val="0"/>
        <w:adjustRightInd w:val="0"/>
        <w:spacing w:after="0"/>
        <w:rPr>
          <w:rFonts w:eastAsia="Calibri" w:cs="Calibri"/>
          <w14:ligatures w14:val="standardContextual"/>
        </w:rPr>
      </w:pPr>
      <w:r w:rsidRPr="004C2B5B">
        <w:rPr>
          <w:rFonts w:eastAsia="Calibri" w:cs="Calibri"/>
          <w14:ligatures w14:val="standardContextual"/>
        </w:rPr>
        <w:t>Rozliczenie 1 – data wpłaty 2024-03-25</w:t>
      </w:r>
    </w:p>
    <w:p w14:paraId="4982A476" w14:textId="77777777" w:rsidR="004C2B5B" w:rsidRPr="004C2B5B" w:rsidRDefault="004C2B5B" w:rsidP="004C2B5B">
      <w:pPr>
        <w:autoSpaceDE w:val="0"/>
        <w:autoSpaceDN w:val="0"/>
        <w:adjustRightInd w:val="0"/>
        <w:spacing w:after="0"/>
        <w:rPr>
          <w:rFonts w:eastAsia="Calibri" w:cs="Calibri"/>
          <w14:ligatures w14:val="standardContextual"/>
        </w:rPr>
      </w:pPr>
      <w:r w:rsidRPr="004C2B5B">
        <w:rPr>
          <w:rFonts w:eastAsia="Calibri" w:cs="Calibri"/>
          <w14:ligatures w14:val="standardContextual"/>
        </w:rPr>
        <w:t>Rozliczenie 2 – data wpłaty 2024-05-13</w:t>
      </w:r>
    </w:p>
    <w:p w14:paraId="33EC26E6" w14:textId="77777777" w:rsidR="004C2B5B" w:rsidRPr="004C2B5B" w:rsidRDefault="004C2B5B" w:rsidP="004C2B5B">
      <w:pPr>
        <w:autoSpaceDE w:val="0"/>
        <w:autoSpaceDN w:val="0"/>
        <w:adjustRightInd w:val="0"/>
        <w:spacing w:after="0"/>
        <w:rPr>
          <w:rFonts w:eastAsia="Calibri" w:cs="Calibri"/>
          <w14:ligatures w14:val="standardContextual"/>
        </w:rPr>
      </w:pPr>
      <w:r w:rsidRPr="004C2B5B">
        <w:rPr>
          <w:rFonts w:eastAsia="Calibri" w:cs="Calibri"/>
          <w14:ligatures w14:val="standardContextual"/>
        </w:rPr>
        <w:t>Rozliczenie 3 – data wpłaty 2024-06-19</w:t>
      </w:r>
    </w:p>
    <w:p w14:paraId="059D0BD7" w14:textId="77777777" w:rsidR="004C2B5B" w:rsidRPr="004C2B5B" w:rsidRDefault="004C2B5B" w:rsidP="004C2B5B">
      <w:pPr>
        <w:autoSpaceDE w:val="0"/>
        <w:autoSpaceDN w:val="0"/>
        <w:adjustRightInd w:val="0"/>
        <w:spacing w:after="0"/>
        <w:rPr>
          <w:rFonts w:eastAsia="Calibri" w:cs="Calibri"/>
          <w14:ligatures w14:val="standardContextual"/>
        </w:rPr>
      </w:pPr>
      <w:r w:rsidRPr="004C2B5B">
        <w:rPr>
          <w:rFonts w:eastAsia="Calibri" w:cs="Calibri"/>
          <w14:ligatures w14:val="standardContextual"/>
        </w:rPr>
        <w:t>Pojawiła się w płata z dnia 2024-04-20</w:t>
      </w:r>
    </w:p>
    <w:p w14:paraId="74DBF91D" w14:textId="77777777" w:rsidR="004C2B5B" w:rsidRPr="004C2B5B" w:rsidRDefault="004C2B5B" w:rsidP="004C2B5B">
      <w:pPr>
        <w:autoSpaceDE w:val="0"/>
        <w:autoSpaceDN w:val="0"/>
        <w:adjustRightInd w:val="0"/>
        <w:spacing w:after="0"/>
        <w:rPr>
          <w:rFonts w:eastAsia="Calibri" w:cs="Calibri"/>
          <w14:ligatures w14:val="standardContextual"/>
        </w:rPr>
      </w:pPr>
      <w:r w:rsidRPr="004C2B5B">
        <w:rPr>
          <w:rFonts w:eastAsia="Calibri" w:cs="Calibri"/>
          <w14:ligatures w14:val="standardContextual"/>
        </w:rPr>
        <w:t>Wycofujemy rozliczenie z dnia 2024-06-19, następnie rozliczenie z dnia 2024-05-13.</w:t>
      </w:r>
    </w:p>
    <w:p w14:paraId="727F7273" w14:textId="4AB8290D" w:rsidR="00277087" w:rsidRDefault="004C2B5B" w:rsidP="004C2B5B">
      <w:pPr>
        <w:spacing w:after="0"/>
        <w:rPr>
          <w:rFonts w:eastAsia="Calibri" w:cs="Calibri"/>
          <w14:ligatures w14:val="standardContextual"/>
        </w:rPr>
      </w:pPr>
      <w:r w:rsidRPr="004C2B5B">
        <w:rPr>
          <w:rFonts w:eastAsia="Calibri" w:cs="Calibri"/>
          <w14:ligatures w14:val="standardContextual"/>
        </w:rPr>
        <w:t>Rozliczamy wpłatę z dnia 2024-04-20, następnie z dnia 2024-05-13 i z dnia 2024-06-20.</w:t>
      </w:r>
    </w:p>
    <w:p w14:paraId="3EA428C5" w14:textId="64066605" w:rsidR="004C2B5B" w:rsidRPr="00065135" w:rsidRDefault="004C2B5B" w:rsidP="004C2B5B">
      <w:pPr>
        <w:pStyle w:val="Nagwek2"/>
      </w:pPr>
      <w:r w:rsidRPr="00FB5D68">
        <w:t xml:space="preserve">Pytanie </w:t>
      </w:r>
      <w:r>
        <w:t>3</w:t>
      </w:r>
      <w:r w:rsidRPr="00FB5D68">
        <w:t>:</w:t>
      </w:r>
    </w:p>
    <w:p w14:paraId="02CDD8AB" w14:textId="77777777" w:rsidR="004C2B5B" w:rsidRPr="004C2B5B" w:rsidRDefault="004C2B5B" w:rsidP="004C2B5B">
      <w:pPr>
        <w:autoSpaceDE w:val="0"/>
        <w:autoSpaceDN w:val="0"/>
        <w:adjustRightInd w:val="0"/>
        <w:spacing w:after="0" w:line="240" w:lineRule="auto"/>
        <w:rPr>
          <w:rFonts w:eastAsia="Calibri" w:cs="Calibri"/>
          <w14:ligatures w14:val="standardContextual"/>
        </w:rPr>
      </w:pPr>
      <w:r w:rsidRPr="004C2B5B">
        <w:rPr>
          <w:rFonts w:eastAsia="Calibri" w:cs="Calibri"/>
          <w14:ligatures w14:val="standardContextual"/>
        </w:rPr>
        <w:t>Dotyczy Rozdział X SWZ Wymagania dotyczące próbki:</w:t>
      </w:r>
    </w:p>
    <w:p w14:paraId="76611386" w14:textId="729AA19E" w:rsidR="004C2B5B" w:rsidRPr="00065135" w:rsidRDefault="004C2B5B" w:rsidP="004C2B5B">
      <w:pPr>
        <w:spacing w:after="0"/>
      </w:pPr>
      <w:r>
        <w:rPr>
          <w:rFonts w:eastAsia="Calibri" w:cs="Calibri"/>
          <w14:ligatures w14:val="standardContextual"/>
        </w:rPr>
        <w:t>p</w:t>
      </w:r>
      <w:r w:rsidRPr="004C2B5B">
        <w:rPr>
          <w:rFonts w:eastAsia="Calibri" w:cs="Calibri"/>
          <w14:ligatures w14:val="standardContextual"/>
        </w:rPr>
        <w:t>kt</w:t>
      </w:r>
      <w:r>
        <w:rPr>
          <w:rFonts w:eastAsia="Calibri" w:cs="Calibri"/>
          <w14:ligatures w14:val="standardContextual"/>
        </w:rPr>
        <w:t xml:space="preserve"> </w:t>
      </w:r>
      <w:r w:rsidRPr="004C2B5B">
        <w:rPr>
          <w:rFonts w:eastAsia="Calibri" w:cs="Calibri"/>
          <w14:ligatures w14:val="standardContextual"/>
        </w:rPr>
        <w:t>32 Czy Data powstania zadłużenia ma być traktowana jako pierwszy dzień naliczania odsetek</w:t>
      </w:r>
      <w:r>
        <w:t>?</w:t>
      </w:r>
    </w:p>
    <w:p w14:paraId="0536E6C2" w14:textId="77777777" w:rsidR="004C2B5B" w:rsidRDefault="004C2B5B" w:rsidP="004C2B5B">
      <w:pPr>
        <w:pStyle w:val="Nagwek3"/>
      </w:pPr>
      <w:r w:rsidRPr="00277087">
        <w:t>Odpowiedź:</w:t>
      </w:r>
    </w:p>
    <w:p w14:paraId="1C47EC31" w14:textId="4BB3A741" w:rsidR="004C2B5B" w:rsidRDefault="004C2B5B" w:rsidP="004C2B5B">
      <w:pPr>
        <w:spacing w:after="0"/>
      </w:pPr>
      <w:r w:rsidRPr="004C2B5B">
        <w:rPr>
          <w:rFonts w:eastAsia="Calibri" w:cs="Calibri"/>
        </w:rPr>
        <w:t>Tak, data powstania zadłużenia jest traktowana jako pierwszy dzień naliczania odsetek</w:t>
      </w:r>
      <w:r>
        <w:rPr>
          <w:rFonts w:eastAsia="Calibri" w:cs="Calibri"/>
        </w:rPr>
        <w:t>.</w:t>
      </w:r>
    </w:p>
    <w:p w14:paraId="4C32A5AE" w14:textId="623A1CFD" w:rsidR="00AA1693" w:rsidRDefault="00AA1693" w:rsidP="00F17F92">
      <w:pPr>
        <w:spacing w:before="840"/>
        <w:ind w:left="5528"/>
      </w:pPr>
      <w:r>
        <w:t>W imieniu Zamawiającego</w:t>
      </w:r>
      <w:r w:rsidR="001823DF">
        <w:t>,</w:t>
      </w:r>
    </w:p>
    <w:p w14:paraId="1E569D41" w14:textId="77777777" w:rsidR="00277087" w:rsidRPr="00065135" w:rsidRDefault="00277087" w:rsidP="001823DF">
      <w:pPr>
        <w:pStyle w:val="Nagwek2"/>
        <w:spacing w:before="5640"/>
      </w:pPr>
      <w:r w:rsidRPr="00065135">
        <w:t>Treść ze stopki pisma</w:t>
      </w:r>
    </w:p>
    <w:p w14:paraId="7BDB7F08" w14:textId="77777777" w:rsidR="00277087" w:rsidRPr="00065135" w:rsidRDefault="00277087" w:rsidP="008D2F1F"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1" w:history="1">
        <w:r w:rsidRPr="00065135">
          <w:rPr>
            <w:rStyle w:val="Hipercze"/>
            <w:color w:val="auto"/>
          </w:rPr>
          <w:t>www.pfron.org.pl</w:t>
        </w:r>
      </w:hyperlink>
    </w:p>
    <w:sectPr w:rsidR="00277087" w:rsidRPr="00065135" w:rsidSect="00651CE0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251E9" w14:textId="1AB9AE1A" w:rsidR="00277087" w:rsidRDefault="00E24EF9" w:rsidP="008D2F1F">
    <w:pPr>
      <w:pStyle w:val="Stopka"/>
      <w:ind w:left="-1418"/>
    </w:pPr>
    <w:r>
      <w:rPr>
        <w:noProof/>
      </w:rPr>
      <w:drawing>
        <wp:inline distT="0" distB="0" distL="0" distR="0" wp14:anchorId="0D7C2ABE" wp14:editId="197438F4">
          <wp:extent cx="7553325" cy="628015"/>
          <wp:effectExtent l="0" t="0" r="0" b="0"/>
          <wp:docPr id="6863528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9C5E0" w14:textId="43ED8C90" w:rsidR="00277087" w:rsidRDefault="00E24EF9" w:rsidP="00671961">
    <w:pPr>
      <w:pStyle w:val="Stopka"/>
      <w:ind w:left="-1418"/>
    </w:pPr>
    <w:r>
      <w:rPr>
        <w:noProof/>
      </w:rPr>
      <w:drawing>
        <wp:inline distT="0" distB="0" distL="0" distR="0" wp14:anchorId="25A00E2D" wp14:editId="00291A96">
          <wp:extent cx="7553325" cy="628015"/>
          <wp:effectExtent l="0" t="0" r="0" b="0"/>
          <wp:docPr id="14193849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4D9AC" w14:textId="3BB31E21" w:rsidR="00277087" w:rsidRPr="00E24EF9" w:rsidRDefault="00E24EF9" w:rsidP="00E24EF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97AA2F" wp14:editId="4323F31B">
          <wp:simplePos x="0" y="0"/>
          <wp:positionH relativeFrom="page">
            <wp:align>left</wp:align>
          </wp:positionH>
          <wp:positionV relativeFrom="paragraph">
            <wp:posOffset>-320988</wp:posOffset>
          </wp:positionV>
          <wp:extent cx="7562848" cy="1045770"/>
          <wp:effectExtent l="0" t="0" r="635" b="254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4"/>
  </w:num>
  <w:num w:numId="2" w16cid:durableId="1407997227">
    <w:abstractNumId w:val="3"/>
  </w:num>
  <w:num w:numId="3" w16cid:durableId="583417118">
    <w:abstractNumId w:val="14"/>
  </w:num>
  <w:num w:numId="4" w16cid:durableId="1449814942">
    <w:abstractNumId w:val="12"/>
  </w:num>
  <w:num w:numId="5" w16cid:durableId="2106461073">
    <w:abstractNumId w:val="1"/>
  </w:num>
  <w:num w:numId="6" w16cid:durableId="201796135">
    <w:abstractNumId w:val="15"/>
  </w:num>
  <w:num w:numId="7" w16cid:durableId="1662193485">
    <w:abstractNumId w:val="7"/>
  </w:num>
  <w:num w:numId="8" w16cid:durableId="409931632">
    <w:abstractNumId w:val="0"/>
  </w:num>
  <w:num w:numId="9" w16cid:durableId="653681540">
    <w:abstractNumId w:val="6"/>
  </w:num>
  <w:num w:numId="10" w16cid:durableId="1620794615">
    <w:abstractNumId w:val="8"/>
  </w:num>
  <w:num w:numId="11" w16cid:durableId="1680280051">
    <w:abstractNumId w:val="18"/>
  </w:num>
  <w:num w:numId="12" w16cid:durableId="1639266916">
    <w:abstractNumId w:val="17"/>
  </w:num>
  <w:num w:numId="13" w16cid:durableId="1875776440">
    <w:abstractNumId w:val="13"/>
  </w:num>
  <w:num w:numId="14" w16cid:durableId="1137186713">
    <w:abstractNumId w:val="9"/>
  </w:num>
  <w:num w:numId="15" w16cid:durableId="533931214">
    <w:abstractNumId w:val="11"/>
  </w:num>
  <w:num w:numId="16" w16cid:durableId="1528905544">
    <w:abstractNumId w:val="16"/>
  </w:num>
  <w:num w:numId="17" w16cid:durableId="8147437">
    <w:abstractNumId w:val="19"/>
  </w:num>
  <w:num w:numId="18" w16cid:durableId="1523938412">
    <w:abstractNumId w:val="10"/>
  </w:num>
  <w:num w:numId="19" w16cid:durableId="940185781">
    <w:abstractNumId w:val="2"/>
  </w:num>
  <w:num w:numId="20" w16cid:durableId="1571425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0783F"/>
    <w:rsid w:val="000B2624"/>
    <w:rsid w:val="00102A74"/>
    <w:rsid w:val="00122D1A"/>
    <w:rsid w:val="00160C6C"/>
    <w:rsid w:val="001820B2"/>
    <w:rsid w:val="001823DF"/>
    <w:rsid w:val="00225696"/>
    <w:rsid w:val="00277087"/>
    <w:rsid w:val="00290288"/>
    <w:rsid w:val="0030212A"/>
    <w:rsid w:val="003D1F95"/>
    <w:rsid w:val="00481BAC"/>
    <w:rsid w:val="00490D24"/>
    <w:rsid w:val="004A3C4D"/>
    <w:rsid w:val="004C2B5B"/>
    <w:rsid w:val="004E1B6B"/>
    <w:rsid w:val="00504373"/>
    <w:rsid w:val="005157FA"/>
    <w:rsid w:val="00584B4B"/>
    <w:rsid w:val="005F3F69"/>
    <w:rsid w:val="00680149"/>
    <w:rsid w:val="00702642"/>
    <w:rsid w:val="0070588E"/>
    <w:rsid w:val="00712D95"/>
    <w:rsid w:val="00724741"/>
    <w:rsid w:val="007445C4"/>
    <w:rsid w:val="00764E53"/>
    <w:rsid w:val="007A0B5A"/>
    <w:rsid w:val="007D05D5"/>
    <w:rsid w:val="008B63A3"/>
    <w:rsid w:val="009F2D19"/>
    <w:rsid w:val="009F734A"/>
    <w:rsid w:val="00A17574"/>
    <w:rsid w:val="00A77547"/>
    <w:rsid w:val="00AA1693"/>
    <w:rsid w:val="00AE5761"/>
    <w:rsid w:val="00AF63D8"/>
    <w:rsid w:val="00B6273A"/>
    <w:rsid w:val="00BC6FD3"/>
    <w:rsid w:val="00BE4861"/>
    <w:rsid w:val="00C03B24"/>
    <w:rsid w:val="00C753ED"/>
    <w:rsid w:val="00CA02D8"/>
    <w:rsid w:val="00CD3F5D"/>
    <w:rsid w:val="00CE2B59"/>
    <w:rsid w:val="00D1458E"/>
    <w:rsid w:val="00D23B7D"/>
    <w:rsid w:val="00D762FD"/>
    <w:rsid w:val="00DD4CCC"/>
    <w:rsid w:val="00E24EF9"/>
    <w:rsid w:val="00F17F92"/>
    <w:rsid w:val="00F567D8"/>
    <w:rsid w:val="00F655FC"/>
    <w:rsid w:val="00F945C5"/>
    <w:rsid w:val="00F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fron.org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2B49D-BE9D-49B8-A665-7A847BD3568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05e16ae5-0c01-47e1-abc9-62b37e2a5124"/>
    <ds:schemaRef ds:uri="d3f86bea-fd2d-4685-a72a-16db52edfa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60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SWZ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</dc:title>
  <dc:creator>Pawel_Zielinski@pfron.org.pl</dc:creator>
  <cp:lastModifiedBy>Zieliński Paweł</cp:lastModifiedBy>
  <cp:revision>15</cp:revision>
  <cp:lastPrinted>2025-01-17T10:11:00Z</cp:lastPrinted>
  <dcterms:created xsi:type="dcterms:W3CDTF">2025-01-17T08:18:00Z</dcterms:created>
  <dcterms:modified xsi:type="dcterms:W3CDTF">2025-02-26T11:32:00Z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