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21A91" w14:textId="3B0E526F" w:rsidR="00D71028" w:rsidRPr="00D36BFD" w:rsidRDefault="00061925" w:rsidP="00145E53">
      <w:pPr>
        <w:jc w:val="center"/>
        <w:rPr>
          <w:rFonts w:ascii="Arial" w:hAnsi="Arial" w:cs="Arial"/>
          <w:b/>
          <w:sz w:val="32"/>
          <w:szCs w:val="32"/>
        </w:rPr>
      </w:pPr>
      <w:r w:rsidRPr="00D36BFD">
        <w:rPr>
          <w:rFonts w:ascii="Arial" w:hAnsi="Arial" w:cs="Arial"/>
          <w:b/>
          <w:sz w:val="32"/>
          <w:szCs w:val="32"/>
        </w:rPr>
        <w:t xml:space="preserve">Charakterystyka obiektu </w:t>
      </w:r>
    </w:p>
    <w:p w14:paraId="6E1213C6" w14:textId="77777777" w:rsidR="00D71028" w:rsidRDefault="00D71028" w:rsidP="00D71028">
      <w:pPr>
        <w:jc w:val="center"/>
        <w:rPr>
          <w:rFonts w:ascii="Arial" w:hAnsi="Arial" w:cs="Arial"/>
          <w:b/>
          <w:sz w:val="24"/>
          <w:szCs w:val="24"/>
        </w:rPr>
      </w:pPr>
    </w:p>
    <w:p w14:paraId="09D98164" w14:textId="77777777" w:rsidR="00A901CC" w:rsidRPr="00A901CC" w:rsidRDefault="00A901CC" w:rsidP="00A901CC">
      <w:pPr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A901CC">
        <w:rPr>
          <w:rFonts w:ascii="Arial" w:hAnsi="Arial" w:cs="Arial"/>
          <w:b/>
          <w:bCs/>
          <w:sz w:val="24"/>
          <w:szCs w:val="22"/>
        </w:rPr>
        <w:t>Zadanie nr 1 Remont pomieszczeń i doposażenie budynku Gminnego Ośrodka Kultury i Rekreacji w Wilkasach przy ul. Olsztyńskiej 54,  woj. Warmińsko - Mazurskie</w:t>
      </w:r>
    </w:p>
    <w:p w14:paraId="0E0941C3" w14:textId="77777777" w:rsidR="00674D99" w:rsidRPr="0071067B" w:rsidRDefault="00674D99" w:rsidP="0071067B">
      <w:pPr>
        <w:spacing w:line="276" w:lineRule="auto"/>
        <w:rPr>
          <w:rFonts w:ascii="Arial" w:hAnsi="Arial" w:cs="Arial"/>
          <w:sz w:val="24"/>
          <w:szCs w:val="24"/>
        </w:rPr>
      </w:pPr>
    </w:p>
    <w:p w14:paraId="1A42D88E" w14:textId="14CE81CD" w:rsidR="00061925" w:rsidRPr="0071067B" w:rsidRDefault="00D36BFD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Budynek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="00A21E6C" w:rsidRPr="0071067B">
        <w:rPr>
          <w:rFonts w:ascii="Arial" w:hAnsi="Arial" w:cs="Arial"/>
          <w:sz w:val="24"/>
          <w:szCs w:val="24"/>
        </w:rPr>
        <w:t>Gminnego Ośrodka Kultury i Rekreacji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zlokalizowany jest </w:t>
      </w:r>
      <w:r w:rsidR="00061925" w:rsidRPr="0071067B">
        <w:rPr>
          <w:rFonts w:ascii="Arial" w:hAnsi="Arial" w:cs="Arial"/>
          <w:sz w:val="24"/>
          <w:szCs w:val="24"/>
        </w:rPr>
        <w:t xml:space="preserve">w </w:t>
      </w:r>
      <w:r w:rsidR="005D5348" w:rsidRPr="0071067B">
        <w:rPr>
          <w:rFonts w:ascii="Arial" w:hAnsi="Arial" w:cs="Arial"/>
          <w:sz w:val="24"/>
          <w:szCs w:val="24"/>
        </w:rPr>
        <w:t>Wilkasach</w:t>
      </w:r>
      <w:r w:rsidR="00DF49D7">
        <w:rPr>
          <w:rFonts w:ascii="Arial" w:hAnsi="Arial" w:cs="Arial"/>
          <w:sz w:val="24"/>
          <w:szCs w:val="24"/>
        </w:rPr>
        <w:t xml:space="preserve"> przy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="005D5348" w:rsidRPr="0071067B">
        <w:rPr>
          <w:rFonts w:ascii="Arial" w:hAnsi="Arial" w:cs="Arial"/>
          <w:sz w:val="24"/>
          <w:szCs w:val="24"/>
        </w:rPr>
        <w:br/>
        <w:t xml:space="preserve">ul. Olsztyńska 54, 11-500 </w:t>
      </w:r>
      <w:r w:rsidR="0044000E">
        <w:rPr>
          <w:rFonts w:ascii="Arial" w:hAnsi="Arial" w:cs="Arial"/>
          <w:sz w:val="24"/>
          <w:szCs w:val="24"/>
        </w:rPr>
        <w:t>Wilkasy</w:t>
      </w:r>
      <w:bookmarkStart w:id="0" w:name="_GoBack"/>
      <w:bookmarkEnd w:id="0"/>
      <w:r w:rsidR="00061925" w:rsidRPr="0071067B">
        <w:rPr>
          <w:rFonts w:ascii="Arial" w:hAnsi="Arial" w:cs="Arial"/>
          <w:sz w:val="24"/>
          <w:szCs w:val="24"/>
        </w:rPr>
        <w:t>.</w:t>
      </w:r>
    </w:p>
    <w:p w14:paraId="16012446" w14:textId="77777777" w:rsidR="00061925" w:rsidRPr="0071067B" w:rsidRDefault="00061925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</w:p>
    <w:p w14:paraId="47FD2A5B" w14:textId="3DF03DB6" w:rsidR="006F57E6" w:rsidRPr="0071067B" w:rsidRDefault="00061925" w:rsidP="0071067B">
      <w:pPr>
        <w:pStyle w:val="Akapitzlist"/>
        <w:numPr>
          <w:ilvl w:val="0"/>
          <w:numId w:val="5"/>
        </w:numPr>
        <w:spacing w:before="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Opis techniczny stanu istniejącego</w:t>
      </w:r>
    </w:p>
    <w:p w14:paraId="2FD026A8" w14:textId="664D3861" w:rsidR="006F57E6" w:rsidRPr="0071067B" w:rsidRDefault="006F57E6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Budynek </w:t>
      </w:r>
      <w:r w:rsidR="005D5348" w:rsidRPr="0071067B">
        <w:rPr>
          <w:rFonts w:ascii="Arial" w:hAnsi="Arial" w:cs="Arial"/>
          <w:sz w:val="24"/>
          <w:szCs w:val="24"/>
        </w:rPr>
        <w:t>Gminnego Ośrodka Kultury i Rekreacji</w:t>
      </w:r>
      <w:r w:rsidRPr="0071067B">
        <w:rPr>
          <w:rFonts w:ascii="Arial" w:hAnsi="Arial" w:cs="Arial"/>
          <w:sz w:val="24"/>
          <w:szCs w:val="24"/>
        </w:rPr>
        <w:t xml:space="preserve"> położony jest </w:t>
      </w:r>
      <w:r w:rsidR="005D5348" w:rsidRPr="0071067B">
        <w:rPr>
          <w:rFonts w:ascii="Arial" w:hAnsi="Arial" w:cs="Arial"/>
          <w:sz w:val="24"/>
          <w:szCs w:val="24"/>
        </w:rPr>
        <w:t>w</w:t>
      </w:r>
      <w:r w:rsidR="0072349F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miejscowości </w:t>
      </w:r>
      <w:r w:rsidR="005D5348" w:rsidRPr="0071067B">
        <w:rPr>
          <w:rFonts w:ascii="Arial" w:hAnsi="Arial" w:cs="Arial"/>
          <w:sz w:val="24"/>
          <w:szCs w:val="24"/>
        </w:rPr>
        <w:t xml:space="preserve">Wilkasach </w:t>
      </w:r>
      <w:r w:rsidR="00944C75" w:rsidRPr="0071067B">
        <w:rPr>
          <w:rFonts w:ascii="Arial" w:hAnsi="Arial" w:cs="Arial"/>
          <w:sz w:val="24"/>
          <w:szCs w:val="24"/>
        </w:rPr>
        <w:t xml:space="preserve">gmina Giżycko, powiat </w:t>
      </w:r>
      <w:r w:rsidR="0072349F" w:rsidRPr="0071067B">
        <w:rPr>
          <w:rFonts w:ascii="Arial" w:hAnsi="Arial" w:cs="Arial"/>
          <w:sz w:val="24"/>
          <w:szCs w:val="24"/>
        </w:rPr>
        <w:t>G</w:t>
      </w:r>
      <w:r w:rsidR="00944C75" w:rsidRPr="0071067B">
        <w:rPr>
          <w:rFonts w:ascii="Arial" w:hAnsi="Arial" w:cs="Arial"/>
          <w:sz w:val="24"/>
          <w:szCs w:val="24"/>
        </w:rPr>
        <w:t xml:space="preserve">iżycki, województwo </w:t>
      </w:r>
      <w:r w:rsidR="007A07BF" w:rsidRPr="0071067B">
        <w:rPr>
          <w:rFonts w:ascii="Arial" w:hAnsi="Arial" w:cs="Arial"/>
          <w:sz w:val="24"/>
          <w:szCs w:val="24"/>
        </w:rPr>
        <w:t>W</w:t>
      </w:r>
      <w:r w:rsidR="00944C75" w:rsidRPr="0071067B">
        <w:rPr>
          <w:rFonts w:ascii="Arial" w:hAnsi="Arial" w:cs="Arial"/>
          <w:sz w:val="24"/>
          <w:szCs w:val="24"/>
        </w:rPr>
        <w:t xml:space="preserve">armińsko </w:t>
      </w:r>
      <w:r w:rsidR="007A07BF" w:rsidRPr="0071067B">
        <w:rPr>
          <w:rFonts w:ascii="Arial" w:hAnsi="Arial" w:cs="Arial"/>
          <w:sz w:val="24"/>
          <w:szCs w:val="24"/>
        </w:rPr>
        <w:t xml:space="preserve">- </w:t>
      </w:r>
      <w:r w:rsidR="00944C75" w:rsidRPr="0071067B">
        <w:rPr>
          <w:rFonts w:ascii="Arial" w:hAnsi="Arial" w:cs="Arial"/>
          <w:sz w:val="24"/>
          <w:szCs w:val="24"/>
        </w:rPr>
        <w:t>Mazurskie.</w:t>
      </w:r>
      <w:r w:rsidRPr="0071067B">
        <w:rPr>
          <w:rFonts w:ascii="Arial" w:hAnsi="Arial" w:cs="Arial"/>
          <w:sz w:val="24"/>
          <w:szCs w:val="24"/>
        </w:rPr>
        <w:t xml:space="preserve"> </w:t>
      </w:r>
    </w:p>
    <w:p w14:paraId="33A8E997" w14:textId="74E1F20C" w:rsidR="00A23D64" w:rsidRPr="0071067B" w:rsidRDefault="0072349F" w:rsidP="0071067B">
      <w:pPr>
        <w:pStyle w:val="Podtytu"/>
        <w:spacing w:after="120"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Budynek użytkowo – mieszkalny, wolnostojący, parterowy, podpiwniczony, wybudowany metodą tradycyjną – murowany</w:t>
      </w:r>
    </w:p>
    <w:p w14:paraId="62A9F94B" w14:textId="5F2C832D" w:rsidR="00A23D64" w:rsidRPr="0071067B" w:rsidRDefault="0072349F" w:rsidP="0071067B">
      <w:pPr>
        <w:tabs>
          <w:tab w:val="left" w:pos="284"/>
        </w:tabs>
        <w:spacing w:before="0" w:after="12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Konstrukcja dachu drewniana. Pokrycie dachowe z dachówki ceramicznej esówki oraz zna części budynku blachodachówka.</w:t>
      </w:r>
    </w:p>
    <w:p w14:paraId="43F0DDBB" w14:textId="33B64202" w:rsidR="00A23D64" w:rsidRPr="0071067B" w:rsidRDefault="0072349F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Budynek wyposażony jest w instalacje: wodno – kanalizacyjną, centralne ogrzewanie, gazową, elektryczną oświetleniową, sieć internetową ora wentylację grawitacyjną</w:t>
      </w:r>
      <w:r w:rsidRPr="0071067B">
        <w:rPr>
          <w:rFonts w:ascii="Arial" w:hAnsi="Arial" w:cs="Arial"/>
          <w:b w:val="0"/>
          <w:sz w:val="24"/>
          <w:u w:val="none"/>
        </w:rPr>
        <w:t xml:space="preserve"> </w:t>
      </w:r>
      <w:r w:rsidR="00A23D64" w:rsidRPr="0071067B">
        <w:rPr>
          <w:rFonts w:ascii="Arial" w:hAnsi="Arial" w:cs="Arial"/>
          <w:b w:val="0"/>
          <w:sz w:val="24"/>
          <w:u w:val="none"/>
        </w:rPr>
        <w:t xml:space="preserve">Dojazd do budynku drogą </w:t>
      </w:r>
      <w:r w:rsidR="00944C75" w:rsidRPr="0071067B">
        <w:rPr>
          <w:rFonts w:ascii="Arial" w:hAnsi="Arial" w:cs="Arial"/>
          <w:b w:val="0"/>
          <w:sz w:val="24"/>
          <w:u w:val="none"/>
        </w:rPr>
        <w:t>asfaltową</w:t>
      </w:r>
      <w:r w:rsidR="00A23D64" w:rsidRPr="0071067B">
        <w:rPr>
          <w:rFonts w:ascii="Arial" w:hAnsi="Arial" w:cs="Arial"/>
          <w:b w:val="0"/>
          <w:sz w:val="24"/>
          <w:u w:val="none"/>
        </w:rPr>
        <w:t xml:space="preserve">. </w:t>
      </w:r>
    </w:p>
    <w:p w14:paraId="2FFD3CFC" w14:textId="77777777" w:rsidR="00A23D64" w:rsidRPr="0071067B" w:rsidRDefault="00A23D64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16D6169F" w14:textId="058A6A1A" w:rsidR="00A23D64" w:rsidRPr="002F6D37" w:rsidRDefault="00A23D64" w:rsidP="0071067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2F6D37">
        <w:rPr>
          <w:rFonts w:ascii="Arial" w:hAnsi="Arial" w:cs="Arial"/>
          <w:b w:val="0"/>
          <w:bCs w:val="0"/>
          <w:sz w:val="24"/>
          <w:u w:val="none"/>
        </w:rPr>
        <w:t xml:space="preserve">Stan obecny powierzchni budynku: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72349F" w:rsidRPr="0071067B" w14:paraId="30D0D211" w14:textId="77777777" w:rsidTr="0078252B">
        <w:tc>
          <w:tcPr>
            <w:tcW w:w="4815" w:type="dxa"/>
          </w:tcPr>
          <w:p w14:paraId="24B80C78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Liczba lokali</w:t>
            </w:r>
          </w:p>
        </w:tc>
        <w:tc>
          <w:tcPr>
            <w:tcW w:w="4247" w:type="dxa"/>
          </w:tcPr>
          <w:p w14:paraId="43C3278B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3</w:t>
            </w:r>
          </w:p>
        </w:tc>
      </w:tr>
      <w:tr w:rsidR="0072349F" w:rsidRPr="0071067B" w14:paraId="5E04469C" w14:textId="77777777" w:rsidTr="0078252B">
        <w:tc>
          <w:tcPr>
            <w:tcW w:w="4815" w:type="dxa"/>
          </w:tcPr>
          <w:p w14:paraId="5617B675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Liczba lokali mieszkalnych</w:t>
            </w:r>
          </w:p>
        </w:tc>
        <w:tc>
          <w:tcPr>
            <w:tcW w:w="4247" w:type="dxa"/>
          </w:tcPr>
          <w:p w14:paraId="66BF9000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2</w:t>
            </w:r>
          </w:p>
        </w:tc>
      </w:tr>
      <w:tr w:rsidR="0072349F" w:rsidRPr="0071067B" w14:paraId="6F9F52A9" w14:textId="77777777" w:rsidTr="0078252B">
        <w:tc>
          <w:tcPr>
            <w:tcW w:w="4815" w:type="dxa"/>
          </w:tcPr>
          <w:p w14:paraId="6515BD1D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Liczba kondygnacji</w:t>
            </w:r>
          </w:p>
        </w:tc>
        <w:tc>
          <w:tcPr>
            <w:tcW w:w="4247" w:type="dxa"/>
          </w:tcPr>
          <w:p w14:paraId="0E04F7B3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2</w:t>
            </w:r>
          </w:p>
        </w:tc>
      </w:tr>
      <w:tr w:rsidR="0072349F" w:rsidRPr="0071067B" w14:paraId="6C0FE96C" w14:textId="77777777" w:rsidTr="0078252B">
        <w:tc>
          <w:tcPr>
            <w:tcW w:w="4815" w:type="dxa"/>
          </w:tcPr>
          <w:p w14:paraId="4E3305EB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 xml:space="preserve">Powierzchnia zabudowy cz. pierwotnej </w:t>
            </w:r>
          </w:p>
        </w:tc>
        <w:tc>
          <w:tcPr>
            <w:tcW w:w="4247" w:type="dxa"/>
          </w:tcPr>
          <w:p w14:paraId="1676F133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632,57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72349F" w:rsidRPr="0071067B" w14:paraId="6BD1D874" w14:textId="77777777" w:rsidTr="0078252B">
        <w:tc>
          <w:tcPr>
            <w:tcW w:w="4815" w:type="dxa"/>
          </w:tcPr>
          <w:p w14:paraId="397AC168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Powierzchnia użytkowa cz. pierwotnej</w:t>
            </w:r>
          </w:p>
        </w:tc>
        <w:tc>
          <w:tcPr>
            <w:tcW w:w="4247" w:type="dxa"/>
          </w:tcPr>
          <w:p w14:paraId="355A7F49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407,78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72349F" w:rsidRPr="0071067B" w14:paraId="4D6235C5" w14:textId="77777777" w:rsidTr="0078252B">
        <w:tc>
          <w:tcPr>
            <w:tcW w:w="4815" w:type="dxa"/>
          </w:tcPr>
          <w:p w14:paraId="6C69B82C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Kubatura</w:t>
            </w:r>
          </w:p>
        </w:tc>
        <w:tc>
          <w:tcPr>
            <w:tcW w:w="4247" w:type="dxa"/>
          </w:tcPr>
          <w:p w14:paraId="2ECB6EB1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1 107,75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72349F" w:rsidRPr="0071067B" w14:paraId="4B49B2B5" w14:textId="77777777" w:rsidTr="0078252B">
        <w:tc>
          <w:tcPr>
            <w:tcW w:w="4815" w:type="dxa"/>
          </w:tcPr>
          <w:p w14:paraId="4BB5AC9E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 xml:space="preserve">Powierzchnia zabudowy cz. rozbudowanej </w:t>
            </w:r>
          </w:p>
        </w:tc>
        <w:tc>
          <w:tcPr>
            <w:tcW w:w="4247" w:type="dxa"/>
          </w:tcPr>
          <w:p w14:paraId="13AC1260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106,78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72349F" w:rsidRPr="0071067B" w14:paraId="5E1A6F09" w14:textId="77777777" w:rsidTr="0078252B">
        <w:tc>
          <w:tcPr>
            <w:tcW w:w="4815" w:type="dxa"/>
          </w:tcPr>
          <w:p w14:paraId="6559AEAE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Powierzchnia użytkowa cz. rozbudowanej</w:t>
            </w:r>
          </w:p>
        </w:tc>
        <w:tc>
          <w:tcPr>
            <w:tcW w:w="4247" w:type="dxa"/>
          </w:tcPr>
          <w:p w14:paraId="3C8F3CC0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  70,80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72349F" w:rsidRPr="0071067B" w14:paraId="29EAB6E1" w14:textId="77777777" w:rsidTr="0078252B">
        <w:tc>
          <w:tcPr>
            <w:tcW w:w="4815" w:type="dxa"/>
          </w:tcPr>
          <w:p w14:paraId="37228B94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 xml:space="preserve">Kubatura </w:t>
            </w:r>
          </w:p>
        </w:tc>
        <w:tc>
          <w:tcPr>
            <w:tcW w:w="4247" w:type="dxa"/>
          </w:tcPr>
          <w:p w14:paraId="43518867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444,72 m</w:t>
            </w:r>
            <w:r w:rsidRPr="0071067B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</w:tr>
      <w:tr w:rsidR="0072349F" w:rsidRPr="0071067B" w14:paraId="2AFFC119" w14:textId="77777777" w:rsidTr="0078252B">
        <w:tc>
          <w:tcPr>
            <w:tcW w:w="4815" w:type="dxa"/>
          </w:tcPr>
          <w:p w14:paraId="2C7698F3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Działka geodezyjna Nr</w:t>
            </w:r>
          </w:p>
        </w:tc>
        <w:tc>
          <w:tcPr>
            <w:tcW w:w="4247" w:type="dxa"/>
          </w:tcPr>
          <w:p w14:paraId="5CD6797E" w14:textId="77777777" w:rsidR="0072349F" w:rsidRPr="0071067B" w:rsidRDefault="0072349F" w:rsidP="0071067B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067B">
              <w:rPr>
                <w:rFonts w:ascii="Arial" w:hAnsi="Arial" w:cs="Arial"/>
                <w:sz w:val="24"/>
                <w:szCs w:val="24"/>
              </w:rPr>
              <w:t>:     205/1, 205/2</w:t>
            </w:r>
          </w:p>
        </w:tc>
      </w:tr>
    </w:tbl>
    <w:p w14:paraId="2BDD7EB9" w14:textId="77777777" w:rsidR="0072349F" w:rsidRPr="0071067B" w:rsidRDefault="0072349F" w:rsidP="0071067B">
      <w:pPr>
        <w:pStyle w:val="Podtytu"/>
        <w:spacing w:line="276" w:lineRule="auto"/>
        <w:ind w:left="357"/>
        <w:jc w:val="both"/>
        <w:rPr>
          <w:rFonts w:ascii="Arial" w:hAnsi="Arial" w:cs="Arial"/>
          <w:b w:val="0"/>
          <w:sz w:val="24"/>
          <w:u w:val="none"/>
        </w:rPr>
      </w:pPr>
    </w:p>
    <w:p w14:paraId="738925E6" w14:textId="77777777" w:rsidR="0072349F" w:rsidRPr="0071067B" w:rsidRDefault="0072349F" w:rsidP="0071067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</w:p>
    <w:p w14:paraId="623B2EDB" w14:textId="77777777" w:rsidR="00A21E6C" w:rsidRPr="0071067B" w:rsidRDefault="00A23D64" w:rsidP="0071067B">
      <w:pPr>
        <w:pStyle w:val="Podtytu"/>
        <w:numPr>
          <w:ilvl w:val="0"/>
          <w:numId w:val="5"/>
        </w:numPr>
        <w:spacing w:after="120"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Stan projektowany</w:t>
      </w:r>
      <w:r w:rsidR="00F52EEB" w:rsidRPr="0071067B">
        <w:rPr>
          <w:rFonts w:ascii="Arial" w:hAnsi="Arial" w:cs="Arial"/>
          <w:b w:val="0"/>
          <w:bCs w:val="0"/>
          <w:sz w:val="24"/>
          <w:u w:val="none"/>
        </w:rPr>
        <w:t xml:space="preserve"> – ogólny zakres robót</w:t>
      </w:r>
    </w:p>
    <w:p w14:paraId="70531BBE" w14:textId="78B0D41F" w:rsidR="00E947B8" w:rsidRPr="0071067B" w:rsidRDefault="00A21E6C" w:rsidP="0071067B">
      <w:pPr>
        <w:pStyle w:val="Podtytu"/>
        <w:numPr>
          <w:ilvl w:val="1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prac budowlanych</w:t>
      </w:r>
      <w:r w:rsidR="00A23D64" w:rsidRPr="0071067B">
        <w:rPr>
          <w:rFonts w:ascii="Arial" w:hAnsi="Arial" w:cs="Arial"/>
          <w:b w:val="0"/>
          <w:bCs w:val="0"/>
          <w:sz w:val="24"/>
          <w:u w:val="none"/>
        </w:rPr>
        <w:t xml:space="preserve">: </w:t>
      </w:r>
    </w:p>
    <w:p w14:paraId="7F2BFD65" w14:textId="639F235B" w:rsidR="002D2C06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roboty rozbiórkowe: ścianki z cegieł, podłoża z betonu, podsufitek z płyt pilśniowych, podłóg z paneli podłogowych, płytek ceramicznych na ścianach i podłogach, </w:t>
      </w:r>
    </w:p>
    <w:p w14:paraId="0F18DCB2" w14:textId="7D79AD99" w:rsidR="00434847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lastRenderedPageBreak/>
        <w:t xml:space="preserve">zeskrobanie starej farby ze ścian i sufitów, demontaż luster, demontaż podokienników, wykucie ościeżnic, </w:t>
      </w:r>
    </w:p>
    <w:p w14:paraId="5CEE992B" w14:textId="1152BB81" w:rsidR="00434847" w:rsidRPr="0071067B" w:rsidRDefault="002D2C06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wykonanie ścian</w:t>
      </w:r>
      <w:r w:rsidR="00434847" w:rsidRPr="0071067B">
        <w:rPr>
          <w:rFonts w:ascii="Arial" w:hAnsi="Arial" w:cs="Arial"/>
          <w:sz w:val="24"/>
          <w:szCs w:val="24"/>
        </w:rPr>
        <w:t>ek</w:t>
      </w:r>
      <w:r w:rsidRPr="0071067B">
        <w:rPr>
          <w:rFonts w:ascii="Arial" w:hAnsi="Arial" w:cs="Arial"/>
          <w:sz w:val="24"/>
          <w:szCs w:val="24"/>
        </w:rPr>
        <w:t xml:space="preserve"> działow</w:t>
      </w:r>
      <w:r w:rsidR="00434847" w:rsidRPr="0071067B">
        <w:rPr>
          <w:rFonts w:ascii="Arial" w:hAnsi="Arial" w:cs="Arial"/>
          <w:sz w:val="24"/>
          <w:szCs w:val="24"/>
        </w:rPr>
        <w:t>ych</w:t>
      </w:r>
      <w:r w:rsidRPr="0071067B">
        <w:rPr>
          <w:rFonts w:ascii="Arial" w:hAnsi="Arial" w:cs="Arial"/>
          <w:sz w:val="24"/>
          <w:szCs w:val="24"/>
        </w:rPr>
        <w:t xml:space="preserve"> z płyt gipsowo-kartonowych</w:t>
      </w:r>
      <w:r w:rsidR="00434847" w:rsidRPr="0071067B">
        <w:rPr>
          <w:rFonts w:ascii="Arial" w:hAnsi="Arial" w:cs="Arial"/>
          <w:sz w:val="24"/>
          <w:szCs w:val="24"/>
        </w:rPr>
        <w:t xml:space="preserve">, szpachlowanie malowanie ścian i sufitów, montaż balustrad – poręczy dla niepełnosprawnych, wykonanie </w:t>
      </w:r>
      <w:r w:rsidR="0064122B" w:rsidRPr="0071067B">
        <w:rPr>
          <w:rFonts w:ascii="Arial" w:hAnsi="Arial" w:cs="Arial"/>
          <w:sz w:val="24"/>
          <w:szCs w:val="24"/>
        </w:rPr>
        <w:t xml:space="preserve">izolacji przeciwwilgociową metodą </w:t>
      </w:r>
      <w:r w:rsidR="00434847" w:rsidRPr="0071067B">
        <w:rPr>
          <w:rFonts w:ascii="Arial" w:hAnsi="Arial" w:cs="Arial"/>
          <w:sz w:val="24"/>
          <w:szCs w:val="24"/>
        </w:rPr>
        <w:t xml:space="preserve">iniekcji niskociśnieniowej w murze z cegły, </w:t>
      </w:r>
      <w:r w:rsidR="0064122B" w:rsidRPr="0071067B">
        <w:rPr>
          <w:rFonts w:ascii="Arial" w:hAnsi="Arial" w:cs="Arial"/>
          <w:bCs/>
          <w:sz w:val="24"/>
          <w:szCs w:val="24"/>
        </w:rPr>
        <w:t xml:space="preserve">montaż paneli akustycznych, sufitów podwieszanych, </w:t>
      </w:r>
    </w:p>
    <w:p w14:paraId="6CB3B676" w14:textId="339FA90F" w:rsidR="0064122B" w:rsidRPr="0071067B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wykonanie warstwy wyrównujące pod posadzki, posadzek cementowych,  posadzek z płytek terakotowych, paneli podłogowych oraz parkietu,</w:t>
      </w:r>
    </w:p>
    <w:p w14:paraId="77A8C3ED" w14:textId="7BB70798" w:rsidR="002D2C06" w:rsidRPr="0071067B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wymiana stolarki drzwiowej zewnętrznej na aluminiową i drzwi</w:t>
      </w:r>
      <w:r w:rsidR="002F6D37" w:rsidRPr="0071067B">
        <w:rPr>
          <w:rFonts w:ascii="Arial" w:hAnsi="Arial" w:cs="Arial"/>
          <w:bCs/>
          <w:sz w:val="24"/>
          <w:szCs w:val="24"/>
        </w:rPr>
        <w:t xml:space="preserve"> wewnętrzne </w:t>
      </w:r>
      <w:r w:rsidR="002F6D37" w:rsidRPr="00A06CB2">
        <w:rPr>
          <w:rFonts w:ascii="Arial" w:hAnsi="Arial" w:cs="Arial"/>
          <w:sz w:val="24"/>
          <w:szCs w:val="24"/>
        </w:rPr>
        <w:t>dźwiękoszczelne</w:t>
      </w:r>
      <w:r w:rsidR="002F6D37" w:rsidRPr="0071067B">
        <w:rPr>
          <w:rFonts w:ascii="Arial" w:hAnsi="Arial" w:cs="Arial"/>
          <w:bCs/>
          <w:sz w:val="24"/>
          <w:szCs w:val="24"/>
        </w:rPr>
        <w:t xml:space="preserve"> </w:t>
      </w:r>
      <w:r w:rsidRPr="0071067B">
        <w:rPr>
          <w:rFonts w:ascii="Arial" w:hAnsi="Arial" w:cs="Arial"/>
          <w:bCs/>
          <w:sz w:val="24"/>
          <w:szCs w:val="24"/>
        </w:rPr>
        <w:t>płytowe typu HPL z ościeżnicami regulowanymi.</w:t>
      </w:r>
    </w:p>
    <w:p w14:paraId="36417C4F" w14:textId="77777777" w:rsidR="002D2C06" w:rsidRPr="0071067B" w:rsidRDefault="002D2C06" w:rsidP="0071067B">
      <w:pPr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rPr>
          <w:rFonts w:ascii="Arial" w:hAnsi="Arial" w:cs="Arial"/>
          <w:sz w:val="24"/>
          <w:szCs w:val="24"/>
        </w:rPr>
      </w:pPr>
    </w:p>
    <w:p w14:paraId="63AF95C1" w14:textId="66E5317F" w:rsidR="00A2422B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</w:t>
      </w:r>
      <w:r w:rsidR="00A2422B" w:rsidRPr="0071067B">
        <w:rPr>
          <w:rFonts w:ascii="Arial" w:hAnsi="Arial" w:cs="Arial"/>
          <w:sz w:val="24"/>
          <w:szCs w:val="24"/>
        </w:rPr>
        <w:t xml:space="preserve">Zakres prac </w:t>
      </w:r>
      <w:r w:rsidR="00944C75" w:rsidRPr="0071067B">
        <w:rPr>
          <w:rFonts w:ascii="Arial" w:hAnsi="Arial" w:cs="Arial"/>
          <w:sz w:val="24"/>
          <w:szCs w:val="24"/>
        </w:rPr>
        <w:t>sanitarnych</w:t>
      </w:r>
      <w:r w:rsidR="00A2422B" w:rsidRPr="0071067B">
        <w:rPr>
          <w:rFonts w:ascii="Arial" w:hAnsi="Arial" w:cs="Arial"/>
          <w:sz w:val="24"/>
          <w:szCs w:val="24"/>
        </w:rPr>
        <w:t>:</w:t>
      </w:r>
    </w:p>
    <w:p w14:paraId="75387C41" w14:textId="455C6D06" w:rsidR="0064122B" w:rsidRPr="0071067B" w:rsidRDefault="002F6D37" w:rsidP="0071067B">
      <w:pPr>
        <w:pStyle w:val="Akapitzlist"/>
        <w:widowControl/>
        <w:numPr>
          <w:ilvl w:val="0"/>
          <w:numId w:val="22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64122B" w:rsidRPr="0071067B">
        <w:rPr>
          <w:rFonts w:ascii="Arial" w:hAnsi="Arial" w:cs="Arial"/>
          <w:bCs/>
          <w:sz w:val="24"/>
          <w:szCs w:val="24"/>
        </w:rPr>
        <w:t>emontaż: zaworu grzejnikowego, podejścia dopływowego, rurociągu stalowego, grzejnika żeliwnego,</w:t>
      </w:r>
    </w:p>
    <w:p w14:paraId="03A65ED0" w14:textId="2F6B6EAD" w:rsidR="0064122B" w:rsidRPr="0071067B" w:rsidRDefault="0064122B" w:rsidP="0071067B">
      <w:pPr>
        <w:pStyle w:val="Akapitzlist"/>
        <w:widowControl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malowanie farbą olejną rur wodociągowych i gazowych,</w:t>
      </w:r>
    </w:p>
    <w:p w14:paraId="50352145" w14:textId="489B254D" w:rsidR="0064122B" w:rsidRPr="0071067B" w:rsidRDefault="0064122B" w:rsidP="0071067B">
      <w:pPr>
        <w:pStyle w:val="Akapitzlist"/>
        <w:widowControl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grzejników stalowych płytowych oraz ekranów zagrzejnikowych. </w:t>
      </w:r>
    </w:p>
    <w:p w14:paraId="6C538711" w14:textId="77777777" w:rsidR="00A21E6C" w:rsidRPr="0071067B" w:rsidRDefault="00A21E6C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/>
        <w:rPr>
          <w:rFonts w:ascii="Arial" w:hAnsi="Arial" w:cs="Arial"/>
          <w:sz w:val="24"/>
          <w:szCs w:val="24"/>
        </w:rPr>
      </w:pPr>
    </w:p>
    <w:p w14:paraId="56E4F31B" w14:textId="431632E9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elektrycznych:</w:t>
      </w:r>
    </w:p>
    <w:p w14:paraId="04B670BA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mechaniczne wykucie bruzd w betonie,</w:t>
      </w:r>
    </w:p>
    <w:p w14:paraId="4A0C50A7" w14:textId="492C4BA9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wymiana przewodów wtynkowych, opraw oświetleniowych, puszek podtynkowych, przełącznika świecznikowego szeregowego oraz montaż złączy świecznikowych 3 biegunowych</w:t>
      </w:r>
    </w:p>
    <w:p w14:paraId="123597B5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kompletnego systemu </w:t>
      </w:r>
      <w:r w:rsidRPr="0071067B">
        <w:rPr>
          <w:rFonts w:ascii="Arial" w:hAnsi="Arial" w:cs="Arial"/>
          <w:sz w:val="24"/>
          <w:szCs w:val="24"/>
        </w:rPr>
        <w:t>urządzeń do wykrywania gazu,</w:t>
      </w:r>
      <w:r w:rsidRPr="0071067B">
        <w:rPr>
          <w:rFonts w:ascii="Arial" w:hAnsi="Arial" w:cs="Arial"/>
          <w:bCs/>
          <w:sz w:val="24"/>
          <w:szCs w:val="24"/>
        </w:rPr>
        <w:t xml:space="preserve"> </w:t>
      </w:r>
    </w:p>
    <w:p w14:paraId="22827B29" w14:textId="2DB68DB3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sprawdzenie samoczynnego wyłączenia zasilania,</w:t>
      </w:r>
      <w:r w:rsidR="007033D0" w:rsidRPr="0071067B">
        <w:rPr>
          <w:rFonts w:ascii="Arial" w:hAnsi="Arial" w:cs="Arial"/>
          <w:bCs/>
          <w:sz w:val="24"/>
          <w:szCs w:val="24"/>
        </w:rPr>
        <w:t xml:space="preserve"> </w:t>
      </w:r>
      <w:r w:rsidRPr="0071067B">
        <w:rPr>
          <w:rFonts w:ascii="Arial" w:hAnsi="Arial" w:cs="Arial"/>
          <w:bCs/>
          <w:sz w:val="24"/>
          <w:szCs w:val="24"/>
        </w:rPr>
        <w:t>sprawdzenie i pomiar kompletnego 1-fazowego obwodu elektrycznego niskiego napięcia,</w:t>
      </w:r>
    </w:p>
    <w:p w14:paraId="4D5B0233" w14:textId="6043BB41" w:rsidR="006A0313" w:rsidRPr="0071067B" w:rsidRDefault="007033D0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pomiar rezystancji izolacji instalacji elektrycznej, </w:t>
      </w:r>
      <w:r w:rsidR="006A0313" w:rsidRPr="0071067B">
        <w:rPr>
          <w:rFonts w:ascii="Arial" w:hAnsi="Arial" w:cs="Arial"/>
          <w:bCs/>
          <w:sz w:val="24"/>
          <w:szCs w:val="24"/>
        </w:rPr>
        <w:t>pomiar uziemienia</w:t>
      </w:r>
      <w:r w:rsidRPr="0071067B">
        <w:rPr>
          <w:rFonts w:ascii="Arial" w:hAnsi="Arial" w:cs="Arial"/>
          <w:bCs/>
          <w:sz w:val="24"/>
          <w:szCs w:val="24"/>
        </w:rPr>
        <w:t>.</w:t>
      </w:r>
    </w:p>
    <w:p w14:paraId="772C75D4" w14:textId="77777777" w:rsidR="007033D0" w:rsidRPr="0071067B" w:rsidRDefault="007033D0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/>
        <w:rPr>
          <w:rFonts w:ascii="Arial" w:hAnsi="Arial" w:cs="Arial"/>
          <w:sz w:val="24"/>
          <w:szCs w:val="24"/>
        </w:rPr>
      </w:pPr>
    </w:p>
    <w:p w14:paraId="356C0C28" w14:textId="6EAF9647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teletechnicznych:</w:t>
      </w:r>
    </w:p>
    <w:p w14:paraId="212CC321" w14:textId="719A799B" w:rsidR="00764B87" w:rsidRPr="0071067B" w:rsidRDefault="00764B87" w:rsidP="0071067B">
      <w:pPr>
        <w:pStyle w:val="Akapitzlist"/>
        <w:widowControl/>
        <w:numPr>
          <w:ilvl w:val="0"/>
          <w:numId w:val="27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wykucie bruzd w cegle, przebijanie otworów w ścianach, stropach z cegły</w:t>
      </w:r>
    </w:p>
    <w:p w14:paraId="25C83FE5" w14:textId="5EF5341F" w:rsidR="00764B87" w:rsidRPr="0071067B" w:rsidRDefault="00764B87" w:rsidP="0071067B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wykonanie przewodów kabelkowe,,</w:t>
      </w:r>
    </w:p>
    <w:p w14:paraId="0D9EFE93" w14:textId="0B8E0E76" w:rsidR="00764B87" w:rsidRPr="0071067B" w:rsidRDefault="00764B87" w:rsidP="0071067B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wymiana puszek podtynkowych, montaż gniazd instalacyjnych teletechnicznych,</w:t>
      </w:r>
    </w:p>
    <w:p w14:paraId="2798F651" w14:textId="623F389D" w:rsidR="00764B87" w:rsidRPr="0071067B" w:rsidRDefault="00764B87" w:rsidP="0071067B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dostawa i montaż: patchpane, patchcord, AccessPoint</w:t>
      </w:r>
      <w:r w:rsidR="00DF49D7">
        <w:rPr>
          <w:rFonts w:ascii="Arial" w:hAnsi="Arial" w:cs="Arial"/>
          <w:sz w:val="24"/>
          <w:szCs w:val="24"/>
        </w:rPr>
        <w:t xml:space="preserve">, </w:t>
      </w:r>
      <w:r w:rsidRPr="0071067B">
        <w:rPr>
          <w:rFonts w:ascii="Arial" w:hAnsi="Arial" w:cs="Arial"/>
          <w:sz w:val="24"/>
          <w:szCs w:val="24"/>
        </w:rPr>
        <w:t>router udm, WiFi controller, Rack, Switch 48p</w:t>
      </w:r>
      <w:r w:rsidR="00DF49D7">
        <w:rPr>
          <w:rFonts w:ascii="Arial" w:hAnsi="Arial" w:cs="Arial"/>
          <w:sz w:val="24"/>
          <w:szCs w:val="24"/>
        </w:rPr>
        <w:t>,</w:t>
      </w:r>
    </w:p>
    <w:p w14:paraId="322E3BA5" w14:textId="77777777" w:rsidR="00764B87" w:rsidRPr="0071067B" w:rsidRDefault="00764B87" w:rsidP="0071067B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wykonanie instalacji teletechnicznej w zakresie: zarobienie szafy, zarobienie gniazd, powieszenie Access pointów na sufitach,  konfiguracja całego osprzętu (wifi, router, switche), pomiary. </w:t>
      </w:r>
    </w:p>
    <w:p w14:paraId="32B307F4" w14:textId="5A7AD191" w:rsidR="00764B87" w:rsidRPr="002F6D37" w:rsidRDefault="00764B87" w:rsidP="0071067B">
      <w:pPr>
        <w:pStyle w:val="Akapitzlist"/>
        <w:widowControl/>
        <w:numPr>
          <w:ilvl w:val="0"/>
          <w:numId w:val="28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2F6D37">
        <w:rPr>
          <w:rFonts w:ascii="Arial" w:hAnsi="Arial" w:cs="Arial"/>
          <w:sz w:val="24"/>
          <w:szCs w:val="24"/>
        </w:rPr>
        <w:t xml:space="preserve">przestawienie – przeniesienie szaf, </w:t>
      </w:r>
    </w:p>
    <w:p w14:paraId="34BB2D9A" w14:textId="77777777" w:rsidR="00A21E6C" w:rsidRPr="0071067B" w:rsidRDefault="00A21E6C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/>
        <w:rPr>
          <w:rFonts w:ascii="Arial" w:hAnsi="Arial" w:cs="Arial"/>
          <w:sz w:val="24"/>
          <w:szCs w:val="24"/>
        </w:rPr>
      </w:pPr>
    </w:p>
    <w:p w14:paraId="10A2A3D6" w14:textId="65A4E744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różnych:</w:t>
      </w:r>
    </w:p>
    <w:p w14:paraId="67F27A16" w14:textId="59D1FE6F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wywiezienie gruzu oraz innych materiałów </w:t>
      </w:r>
      <w:r w:rsidR="0071067B" w:rsidRPr="0071067B">
        <w:rPr>
          <w:rFonts w:ascii="Arial" w:hAnsi="Arial" w:cs="Arial"/>
          <w:sz w:val="24"/>
          <w:szCs w:val="24"/>
        </w:rPr>
        <w:t xml:space="preserve">z rozbiórki </w:t>
      </w:r>
      <w:r w:rsidRPr="0071067B">
        <w:rPr>
          <w:rFonts w:ascii="Arial" w:hAnsi="Arial" w:cs="Arial"/>
          <w:sz w:val="24"/>
          <w:szCs w:val="24"/>
        </w:rPr>
        <w:t>samochodami</w:t>
      </w:r>
      <w:r w:rsidR="0071067B" w:rsidRPr="0071067B">
        <w:rPr>
          <w:rFonts w:ascii="Arial" w:hAnsi="Arial" w:cs="Arial"/>
          <w:sz w:val="24"/>
          <w:szCs w:val="24"/>
        </w:rPr>
        <w:t>,</w:t>
      </w:r>
    </w:p>
    <w:p w14:paraId="5C4286E4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lastRenderedPageBreak/>
        <w:t xml:space="preserve">demontaż i transport poziomy elementów umeblowania do innych pomieszczeń </w:t>
      </w:r>
      <w:r w:rsidRPr="0071067B">
        <w:rPr>
          <w:rFonts w:ascii="Arial" w:hAnsi="Arial" w:cs="Arial"/>
          <w:sz w:val="24"/>
          <w:szCs w:val="24"/>
        </w:rPr>
        <w:br/>
        <w:t>w budynku,</w:t>
      </w:r>
    </w:p>
    <w:p w14:paraId="7F3DBE0D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zabezpieczenie podłóg folią,</w:t>
      </w:r>
    </w:p>
    <w:p w14:paraId="7EB10822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utylizacja materiałów z rozbiórki Wykonawca wykona w ramach kosztów ogólnych budowy,</w:t>
      </w:r>
    </w:p>
    <w:p w14:paraId="399F202F" w14:textId="77777777" w:rsidR="005D5348" w:rsidRPr="0071067B" w:rsidRDefault="005D5348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</w:p>
    <w:p w14:paraId="0F2E2455" w14:textId="77777777" w:rsidR="00A2422B" w:rsidRPr="0071067B" w:rsidRDefault="00A2422B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50A0175B" w14:textId="77777777" w:rsidR="00A2422B" w:rsidRPr="0071067B" w:rsidRDefault="00A2422B" w:rsidP="0071067B">
      <w:pPr>
        <w:pStyle w:val="Podtytu"/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Założenia do kosztorysowania: </w:t>
      </w:r>
    </w:p>
    <w:p w14:paraId="174309A8" w14:textId="72E656F9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kosztorys inwestorski opracowano 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 xml:space="preserve">zgodnie z 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Rozporządzenie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m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,</w:t>
      </w:r>
    </w:p>
    <w:p w14:paraId="2C372E21" w14:textId="7920ADF2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ceny</w:t>
      </w:r>
      <w:r w:rsidR="0071067B">
        <w:rPr>
          <w:rFonts w:ascii="Arial" w:hAnsi="Arial" w:cs="Arial"/>
          <w:b w:val="0"/>
          <w:bCs w:val="0"/>
          <w:sz w:val="24"/>
          <w:u w:val="none"/>
        </w:rPr>
        <w:t xml:space="preserve"> 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jednostkowe robót sporządzono na podstawie kosztorysu inwestorskiego z cenników KNR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,</w:t>
      </w:r>
    </w:p>
    <w:p w14:paraId="62D4F756" w14:textId="6CCED54B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podstawą do sporządzenia kosztorysu inwestorskiego stanowią: dokumentacja</w:t>
      </w:r>
      <w:r w:rsidR="005D5348" w:rsidRPr="0071067B">
        <w:rPr>
          <w:rFonts w:ascii="Arial" w:hAnsi="Arial" w:cs="Arial"/>
          <w:b w:val="0"/>
          <w:bCs w:val="0"/>
          <w:sz w:val="24"/>
          <w:u w:val="none"/>
        </w:rPr>
        <w:t xml:space="preserve"> - obmiar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, ceny jednostkowe robót, specyfikacja techniczna wykonania robót budowlanyc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h,</w:t>
      </w:r>
    </w:p>
    <w:p w14:paraId="12B7DDDF" w14:textId="0F248ED9" w:rsidR="00A2422B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robót przedstawiono w kosztorysie inwestorskim</w:t>
      </w:r>
      <w:r w:rsidR="00FB3010" w:rsidRPr="0071067B">
        <w:rPr>
          <w:rFonts w:ascii="Arial" w:hAnsi="Arial" w:cs="Arial"/>
          <w:b w:val="0"/>
          <w:bCs w:val="0"/>
          <w:sz w:val="24"/>
          <w:u w:val="none"/>
        </w:rPr>
        <w:t>.</w:t>
      </w:r>
    </w:p>
    <w:p w14:paraId="22A292B8" w14:textId="77777777" w:rsidR="00061925" w:rsidRPr="0071067B" w:rsidRDefault="00061925" w:rsidP="0071067B">
      <w:pPr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</w:p>
    <w:sectPr w:rsidR="00061925" w:rsidRPr="0071067B" w:rsidSect="004F6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B0242" w14:textId="77777777" w:rsidR="00986E87" w:rsidRDefault="00986E87" w:rsidP="00D36BFD">
      <w:pPr>
        <w:spacing w:before="0" w:line="240" w:lineRule="auto"/>
      </w:pPr>
      <w:r>
        <w:separator/>
      </w:r>
    </w:p>
  </w:endnote>
  <w:endnote w:type="continuationSeparator" w:id="0">
    <w:p w14:paraId="3F5AD1BE" w14:textId="77777777" w:rsidR="00986E87" w:rsidRDefault="00986E87" w:rsidP="00D36B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3263" w14:textId="77777777" w:rsidR="00D36BFD" w:rsidRDefault="00D36B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3757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A341E7" w14:textId="449C3B10" w:rsidR="00D36BFD" w:rsidRDefault="00D36BFD">
            <w:pPr>
              <w:pStyle w:val="Stopka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36BFD">
              <w:rPr>
                <w:rFonts w:ascii="Arial" w:hAnsi="Arial" w:cs="Arial"/>
                <w:sz w:val="24"/>
                <w:szCs w:val="24"/>
              </w:rPr>
              <w:t>tr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4000E">
              <w:rPr>
                <w:rFonts w:ascii="Arial" w:hAnsi="Arial" w:cs="Arial"/>
                <w:noProof/>
                <w:sz w:val="24"/>
                <w:szCs w:val="24"/>
              </w:rPr>
              <w:t>3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4000E">
              <w:rPr>
                <w:rFonts w:ascii="Arial" w:hAnsi="Arial" w:cs="Arial"/>
                <w:noProof/>
                <w:sz w:val="24"/>
                <w:szCs w:val="24"/>
              </w:rPr>
              <w:t>3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2E7EE4C" w14:textId="77777777" w:rsidR="00D36BFD" w:rsidRDefault="00D36B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89E81" w14:textId="77777777" w:rsidR="00D36BFD" w:rsidRDefault="00D3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5F611" w14:textId="77777777" w:rsidR="00986E87" w:rsidRDefault="00986E87" w:rsidP="00D36BFD">
      <w:pPr>
        <w:spacing w:before="0" w:line="240" w:lineRule="auto"/>
      </w:pPr>
      <w:r>
        <w:separator/>
      </w:r>
    </w:p>
  </w:footnote>
  <w:footnote w:type="continuationSeparator" w:id="0">
    <w:p w14:paraId="4FB1BC18" w14:textId="77777777" w:rsidR="00986E87" w:rsidRDefault="00986E87" w:rsidP="00D36B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EF34E" w14:textId="77777777" w:rsidR="00D36BFD" w:rsidRDefault="00D36B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7B908" w14:textId="77777777" w:rsidR="00D36BFD" w:rsidRDefault="00D36B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7B71C" w14:textId="77777777" w:rsidR="00D36BFD" w:rsidRDefault="00D36B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1A6"/>
    <w:multiLevelType w:val="hybridMultilevel"/>
    <w:tmpl w:val="0060D71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5979"/>
    <w:multiLevelType w:val="hybridMultilevel"/>
    <w:tmpl w:val="695EA9BA"/>
    <w:lvl w:ilvl="0" w:tplc="6FF8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AE26EE"/>
    <w:multiLevelType w:val="hybridMultilevel"/>
    <w:tmpl w:val="60F2C1FA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6A3994"/>
    <w:multiLevelType w:val="hybridMultilevel"/>
    <w:tmpl w:val="F8928A7C"/>
    <w:lvl w:ilvl="0" w:tplc="6FF8F67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23E06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9F0BD2"/>
    <w:multiLevelType w:val="hybridMultilevel"/>
    <w:tmpl w:val="4D04F96E"/>
    <w:lvl w:ilvl="0" w:tplc="6FF8F67C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6" w15:restartNumberingAfterBreak="0">
    <w:nsid w:val="16270D04"/>
    <w:multiLevelType w:val="multilevel"/>
    <w:tmpl w:val="52FAC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4563E1"/>
    <w:multiLevelType w:val="hybridMultilevel"/>
    <w:tmpl w:val="189C607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0CD6DD3"/>
    <w:multiLevelType w:val="hybridMultilevel"/>
    <w:tmpl w:val="2684117E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1375ACD"/>
    <w:multiLevelType w:val="hybridMultilevel"/>
    <w:tmpl w:val="463A9498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31C4"/>
    <w:multiLevelType w:val="hybridMultilevel"/>
    <w:tmpl w:val="F1C48818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D701F"/>
    <w:multiLevelType w:val="hybridMultilevel"/>
    <w:tmpl w:val="343E9DC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877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C4B5D"/>
    <w:multiLevelType w:val="multilevel"/>
    <w:tmpl w:val="DEFCE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B0F5C"/>
    <w:multiLevelType w:val="hybridMultilevel"/>
    <w:tmpl w:val="E75E9A64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D3D7A33"/>
    <w:multiLevelType w:val="hybridMultilevel"/>
    <w:tmpl w:val="84F4E33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B1062"/>
    <w:multiLevelType w:val="hybridMultilevel"/>
    <w:tmpl w:val="7E3648E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A181B"/>
    <w:multiLevelType w:val="hybridMultilevel"/>
    <w:tmpl w:val="32B49652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147C9"/>
    <w:multiLevelType w:val="hybridMultilevel"/>
    <w:tmpl w:val="E5F454C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3"/>
  </w:num>
  <w:num w:numId="7">
    <w:abstractNumId w:val="23"/>
  </w:num>
  <w:num w:numId="8">
    <w:abstractNumId w:val="2"/>
  </w:num>
  <w:num w:numId="9">
    <w:abstractNumId w:val="24"/>
  </w:num>
  <w:num w:numId="10">
    <w:abstractNumId w:val="21"/>
  </w:num>
  <w:num w:numId="11">
    <w:abstractNumId w:val="7"/>
  </w:num>
  <w:num w:numId="12">
    <w:abstractNumId w:val="26"/>
  </w:num>
  <w:num w:numId="13">
    <w:abstractNumId w:val="10"/>
  </w:num>
  <w:num w:numId="14">
    <w:abstractNumId w:val="27"/>
  </w:num>
  <w:num w:numId="15">
    <w:abstractNumId w:val="12"/>
  </w:num>
  <w:num w:numId="16">
    <w:abstractNumId w:val="4"/>
  </w:num>
  <w:num w:numId="17">
    <w:abstractNumId w:val="17"/>
  </w:num>
  <w:num w:numId="18">
    <w:abstractNumId w:val="19"/>
  </w:num>
  <w:num w:numId="19">
    <w:abstractNumId w:val="9"/>
  </w:num>
  <w:num w:numId="20">
    <w:abstractNumId w:val="1"/>
  </w:num>
  <w:num w:numId="21">
    <w:abstractNumId w:val="15"/>
  </w:num>
  <w:num w:numId="22">
    <w:abstractNumId w:val="20"/>
  </w:num>
  <w:num w:numId="23">
    <w:abstractNumId w:val="14"/>
  </w:num>
  <w:num w:numId="24">
    <w:abstractNumId w:val="22"/>
  </w:num>
  <w:num w:numId="25">
    <w:abstractNumId w:val="0"/>
  </w:num>
  <w:num w:numId="26">
    <w:abstractNumId w:val="5"/>
  </w:num>
  <w:num w:numId="27">
    <w:abstractNumId w:val="16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3F"/>
    <w:rsid w:val="000369C2"/>
    <w:rsid w:val="00061925"/>
    <w:rsid w:val="00076AA6"/>
    <w:rsid w:val="000B3A76"/>
    <w:rsid w:val="00103453"/>
    <w:rsid w:val="00104282"/>
    <w:rsid w:val="001354D3"/>
    <w:rsid w:val="00145E53"/>
    <w:rsid w:val="00163488"/>
    <w:rsid w:val="001D4BAF"/>
    <w:rsid w:val="002B20D8"/>
    <w:rsid w:val="002D2C06"/>
    <w:rsid w:val="002E6F2D"/>
    <w:rsid w:val="002F6D37"/>
    <w:rsid w:val="00350FCD"/>
    <w:rsid w:val="00434847"/>
    <w:rsid w:val="0044000E"/>
    <w:rsid w:val="004B33D5"/>
    <w:rsid w:val="004F63BC"/>
    <w:rsid w:val="00527A2A"/>
    <w:rsid w:val="005D5348"/>
    <w:rsid w:val="005F232A"/>
    <w:rsid w:val="0061479B"/>
    <w:rsid w:val="00621A8A"/>
    <w:rsid w:val="0064122B"/>
    <w:rsid w:val="00674D99"/>
    <w:rsid w:val="00690DD7"/>
    <w:rsid w:val="006A0313"/>
    <w:rsid w:val="006F57E6"/>
    <w:rsid w:val="007033D0"/>
    <w:rsid w:val="0071067B"/>
    <w:rsid w:val="0072349F"/>
    <w:rsid w:val="00764B87"/>
    <w:rsid w:val="007A07BF"/>
    <w:rsid w:val="008739B6"/>
    <w:rsid w:val="008774DE"/>
    <w:rsid w:val="008836E5"/>
    <w:rsid w:val="008A43D4"/>
    <w:rsid w:val="0092251F"/>
    <w:rsid w:val="0094458A"/>
    <w:rsid w:val="00944C75"/>
    <w:rsid w:val="00986E87"/>
    <w:rsid w:val="00A06CB2"/>
    <w:rsid w:val="00A21E6C"/>
    <w:rsid w:val="00A23D64"/>
    <w:rsid w:val="00A2422B"/>
    <w:rsid w:val="00A5663F"/>
    <w:rsid w:val="00A64FFE"/>
    <w:rsid w:val="00A67058"/>
    <w:rsid w:val="00A901CC"/>
    <w:rsid w:val="00A931AF"/>
    <w:rsid w:val="00AE3AD0"/>
    <w:rsid w:val="00B45602"/>
    <w:rsid w:val="00BA570C"/>
    <w:rsid w:val="00BC3EC6"/>
    <w:rsid w:val="00C176C5"/>
    <w:rsid w:val="00C32E2F"/>
    <w:rsid w:val="00C6304D"/>
    <w:rsid w:val="00C723E3"/>
    <w:rsid w:val="00C80087"/>
    <w:rsid w:val="00CF678E"/>
    <w:rsid w:val="00D102CA"/>
    <w:rsid w:val="00D36BFD"/>
    <w:rsid w:val="00D4247F"/>
    <w:rsid w:val="00D71028"/>
    <w:rsid w:val="00DB653C"/>
    <w:rsid w:val="00DD21FE"/>
    <w:rsid w:val="00DE1470"/>
    <w:rsid w:val="00DF49D7"/>
    <w:rsid w:val="00E947B8"/>
    <w:rsid w:val="00EC53AC"/>
    <w:rsid w:val="00F52EEB"/>
    <w:rsid w:val="00F66ED3"/>
    <w:rsid w:val="00F825F0"/>
    <w:rsid w:val="00F9760D"/>
    <w:rsid w:val="00FB3010"/>
    <w:rsid w:val="00FC4086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7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2422B"/>
    <w:pPr>
      <w:widowControl/>
      <w:snapToGrid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23D64"/>
    <w:pPr>
      <w:widowControl/>
      <w:snapToGrid/>
      <w:spacing w:before="0" w:line="240" w:lineRule="auto"/>
      <w:jc w:val="left"/>
    </w:pPr>
    <w:rPr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A23D64"/>
    <w:rPr>
      <w:rFonts w:ascii="Times New Roman" w:eastAsia="Times New Roman" w:hAnsi="Times New Roman" w:cs="Times New Roman"/>
      <w:b/>
      <w:bCs/>
      <w:kern w:val="0"/>
      <w:sz w:val="26"/>
      <w:szCs w:val="24"/>
      <w:u w:val="single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2422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27A2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table" w:styleId="Tabela-Siatka">
    <w:name w:val="Table Grid"/>
    <w:basedOn w:val="Standardowy"/>
    <w:uiPriority w:val="39"/>
    <w:rsid w:val="00723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Konto Microsoft</cp:lastModifiedBy>
  <cp:revision>33</cp:revision>
  <dcterms:created xsi:type="dcterms:W3CDTF">2024-06-24T13:07:00Z</dcterms:created>
  <dcterms:modified xsi:type="dcterms:W3CDTF">2025-03-26T11:51:00Z</dcterms:modified>
</cp:coreProperties>
</file>